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sz w:val="24"/>
          <w:szCs w:val="24"/>
        </w:rPr>
      </w:pPr>
      <w:bookmarkStart w:id="0" w:name="P39"/>
      <w:bookmarkEnd w:id="0"/>
      <w:r>
        <w:rPr>
          <w:rFonts w:eastAsia="Times New Roman" w:cs="Times New Roman" w:ascii="Times New Roman" w:hAnsi="Times New Roman"/>
          <w:sz w:val="28"/>
          <w:szCs w:val="24"/>
        </w:rPr>
        <w:t xml:space="preserve">АДМИНИСТРАЦИЯ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8"/>
          <w:szCs w:val="24"/>
        </w:rPr>
        <w:t>КРОПАЧЕВСКОГО ГОРОДСКОГО ПОСЕЛЕНИЯ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8"/>
          <w:szCs w:val="24"/>
        </w:rPr>
        <w:t>АШИНСКОГО МУНИЦИПАЛЬНОГО РАЙОНА</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8"/>
          <w:szCs w:val="24"/>
        </w:rPr>
        <w:t>ЧЕЛЯБИНСКОЙ ОБЛАСТИ</w:t>
      </w:r>
    </w:p>
    <w:p>
      <w:pPr>
        <w:pStyle w:val="Normal"/>
        <w:spacing w:lineRule="auto" w:line="240" w:before="0" w:after="0"/>
        <w:jc w:val="center"/>
        <w:rPr>
          <w:rFonts w:ascii="Times New Roman" w:hAnsi="Times New Roman" w:eastAsia="Times New Roman" w:cs="Times New Roman"/>
          <w:b/>
          <w:b/>
          <w:sz w:val="28"/>
          <w:szCs w:val="24"/>
        </w:rPr>
      </w:pPr>
      <w:r>
        <w:rPr>
          <w:rFonts w:eastAsia="Times New Roman" w:cs="Times New Roman" w:ascii="Times New Roman" w:hAnsi="Times New Roman"/>
          <w:b/>
          <w:sz w:val="28"/>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8"/>
          <w:szCs w:val="24"/>
        </w:rPr>
        <w:t>ПОСТАНОВЛЕНИЕ</w:t>
      </w:r>
    </w:p>
    <w:p>
      <w:pPr>
        <w:pStyle w:val="Normal"/>
        <w:tabs>
          <w:tab w:val="clear" w:pos="708"/>
          <w:tab w:val="left" w:pos="907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ab/>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«11» марта 2022 года  №21</w:t>
      </w:r>
    </w:p>
    <w:p>
      <w:pPr>
        <w:pStyle w:val="Normal"/>
        <w:spacing w:lineRule="auto" w:line="276" w:before="0" w:after="12"/>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538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Об утверждении Программы комплексного развития систем</w:t>
      </w:r>
    </w:p>
    <w:p>
      <w:pPr>
        <w:pStyle w:val="Normal"/>
        <w:spacing w:lineRule="auto" w:line="276" w:before="0" w:after="0"/>
        <w:ind w:right="538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коммунальной инфраструктуры Кропачевского городского</w:t>
      </w:r>
    </w:p>
    <w:p>
      <w:pPr>
        <w:pStyle w:val="Normal"/>
        <w:spacing w:lineRule="auto" w:line="276" w:before="0" w:after="0"/>
        <w:ind w:right="538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поселения на 2021 - 2030 годы</w:t>
      </w:r>
    </w:p>
    <w:p>
      <w:pPr>
        <w:pStyle w:val="Normal"/>
        <w:spacing w:lineRule="auto" w:line="276" w:before="0" w:after="0"/>
        <w:ind w:left="41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left="41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Градостроительный кодекс Российской Федерации; Федеральный </w:t>
      </w:r>
      <w:hyperlink r:id="rId2" w:tgtFrame="Федеральный закон от 06.10.2003 N 131-ФЗ (ред. от 28.12.2013) Об общих принципах организации местного самоуправления в Российской Федерации">
        <w:r>
          <w:rPr>
            <w:rFonts w:cs="Times New Roman" w:ascii="Times New Roman" w:hAnsi="Times New Roman"/>
            <w:sz w:val="24"/>
            <w:szCs w:val="24"/>
          </w:rPr>
          <w:t>закон</w:t>
        </w:r>
      </w:hyperlink>
      <w:r>
        <w:rPr>
          <w:rFonts w:cs="Times New Roman" w:ascii="Times New Roman" w:hAnsi="Times New Roman"/>
          <w:sz w:val="24"/>
          <w:szCs w:val="24"/>
        </w:rPr>
        <w:t xml:space="preserve"> от 06.10.2003 №131-ФЗ «Об общих принципах организации местного самоуправления в РФ»; 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 Приказ Министерства регионального развития РФ от 06.05.2011 №204 «О разработке программ комплексного развития систем коммунальной инфраструктуры муниципальных образований»; Генеральный план пос. Кропачево,</w:t>
      </w:r>
      <w:r>
        <w:rPr>
          <w:rFonts w:cs="Times New Roman" w:ascii="Times New Roman" w:hAnsi="Times New Roman"/>
          <w:color w:val="000000" w:themeColor="text1"/>
          <w:sz w:val="24"/>
          <w:szCs w:val="24"/>
        </w:rPr>
        <w:t xml:space="preserve"> утвержденный решением Совета депутатов от 20.08.2010 №37 (далее - </w:t>
      </w:r>
      <w:r>
        <w:rPr>
          <w:rFonts w:cs="Times New Roman" w:ascii="Times New Roman" w:hAnsi="Times New Roman"/>
          <w:sz w:val="24"/>
          <w:szCs w:val="24"/>
        </w:rPr>
        <w:t xml:space="preserve">Генеральный план); Схема теплоснабжения Кропачевского городского поселения, утверждённая постановлением администрации Кропачевского городского поселения от 26.08.2020 №92; Схема водоснабжения и водоотведения Кропачевского городского поселения, утверждённая решением Совета депутатов Кропачевского городского поселения от 18.04.2014 №11, </w:t>
      </w:r>
      <w:r>
        <w:rPr>
          <w:rFonts w:eastAsia="Times New Roman" w:cs="Times New Roman" w:ascii="Times New Roman" w:hAnsi="Times New Roman"/>
          <w:sz w:val="24"/>
          <w:szCs w:val="24"/>
        </w:rPr>
        <w:t xml:space="preserve">Уставом Кропачевского городского поселения, </w:t>
      </w:r>
    </w:p>
    <w:p>
      <w:pPr>
        <w:pStyle w:val="Normal"/>
        <w:spacing w:lineRule="auto" w:line="276" w:before="0" w:after="0"/>
        <w:ind w:right="7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right="7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ПОСТАНОВЛЯЮ:</w:t>
      </w:r>
    </w:p>
    <w:p>
      <w:pPr>
        <w:pStyle w:val="Normal"/>
        <w:spacing w:lineRule="auto" w:line="276" w:before="0" w:after="0"/>
        <w:ind w:right="7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istParagraph"/>
        <w:numPr>
          <w:ilvl w:val="0"/>
          <w:numId w:val="3"/>
        </w:numPr>
        <w:spacing w:lineRule="auto" w:line="276" w:before="0" w:after="0"/>
        <w:ind w:left="0" w:right="-2"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Утвердить Программу комплексного развития систем коммунальной инфраструктуры Кропачевского городского поселения на 2021 - 2025 годы (Приложение 1).</w:t>
      </w:r>
    </w:p>
    <w:p>
      <w:pPr>
        <w:pStyle w:val="ListParagraph"/>
        <w:numPr>
          <w:ilvl w:val="0"/>
          <w:numId w:val="3"/>
        </w:numPr>
        <w:spacing w:lineRule="auto" w:line="276" w:before="0" w:after="0"/>
        <w:ind w:left="0" w:right="-2"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 kropachevo.ru, регистрация в качестве сетевого издания: ЭЛ №ФС77-73787 от 28.09.2018).</w:t>
      </w:r>
    </w:p>
    <w:p>
      <w:pPr>
        <w:pStyle w:val="ListParagraph"/>
        <w:numPr>
          <w:ilvl w:val="0"/>
          <w:numId w:val="3"/>
        </w:numPr>
        <w:spacing w:lineRule="auto" w:line="276" w:before="0" w:after="0"/>
        <w:ind w:left="0" w:right="-2"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  исполнения настоящего пос</w:t>
      </w:r>
      <w:bookmarkStart w:id="1" w:name="_GoBack"/>
      <w:bookmarkEnd w:id="1"/>
      <w:r>
        <w:rPr>
          <w:rFonts w:eastAsia="Times New Roman" w:cs="Times New Roman" w:ascii="Times New Roman" w:hAnsi="Times New Roman"/>
          <w:sz w:val="24"/>
          <w:szCs w:val="24"/>
        </w:rPr>
        <w:t>тановления оставляю за собой.</w:t>
      </w:r>
    </w:p>
    <w:p>
      <w:pPr>
        <w:pStyle w:val="Normal"/>
        <w:spacing w:lineRule="auto" w:line="276" w:before="0" w:after="0"/>
        <w:ind w:left="708" w:hanging="0"/>
        <w:jc w:val="both"/>
        <w:rPr>
          <w:rFonts w:ascii="Times New Roman" w:hAnsi="Times New Roman" w:cs="Times New Roman"/>
          <w:sz w:val="24"/>
          <w:szCs w:val="24"/>
        </w:rPr>
      </w:pPr>
      <w:r>
        <w:rPr>
          <w:rFonts w:eastAsia="Times New Roman" w:cs="Times New Roman" w:ascii="Times New Roman" w:hAnsi="Times New Roman"/>
          <w:sz w:val="24"/>
          <w:szCs w:val="24"/>
          <w:highlight w:val="yellow"/>
        </w:rPr>
        <w:t xml:space="preserve"> </w:t>
      </w:r>
    </w:p>
    <w:p>
      <w:pPr>
        <w:pStyle w:val="Normal"/>
        <w:spacing w:lineRule="auto" w:line="276" w:before="0" w:after="22"/>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sectPr>
          <w:type w:val="nextPage"/>
          <w:pgSz w:w="11906" w:h="16838"/>
          <w:pgMar w:left="1701" w:right="850" w:gutter="0" w:header="0" w:top="1134" w:footer="0" w:bottom="1134"/>
          <w:pgNumType w:fmt="decimal"/>
          <w:formProt w:val="false"/>
          <w:textDirection w:val="lrTb"/>
          <w:docGrid w:type="default" w:linePitch="360" w:charSpace="4096"/>
        </w:sectPr>
        <w:pStyle w:val="Normal"/>
        <w:tabs>
          <w:tab w:val="clear" w:pos="708"/>
          <w:tab w:val="right" w:pos="9356" w:leader="none"/>
        </w:tabs>
        <w:spacing w:lineRule="auto" w:line="276" w:before="0" w:after="0"/>
        <w:ind w:left="-1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Кропачевского городского поселения</w:t>
        <w:tab/>
        <w:t xml:space="preserve">    У.Р. Зайнетдинов</w:t>
      </w:r>
    </w:p>
    <w:p>
      <w:pPr>
        <w:pStyle w:val="Normal"/>
        <w:spacing w:lineRule="auto" w:line="240" w:before="0" w:after="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Приложение 1</w:t>
      </w:r>
    </w:p>
    <w:p>
      <w:pPr>
        <w:pStyle w:val="Normal"/>
        <w:spacing w:lineRule="auto" w:line="240" w:before="0" w:after="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к постановлению администрации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Кропачевского городского поселения</w:t>
      </w:r>
    </w:p>
    <w:p>
      <w:pPr>
        <w:pStyle w:val="Normal"/>
        <w:tabs>
          <w:tab w:val="clear" w:pos="708"/>
          <w:tab w:val="right" w:pos="9356" w:leader="none"/>
        </w:tabs>
        <w:spacing w:lineRule="auto" w:line="264" w:before="0" w:after="0"/>
        <w:ind w:left="-15" w:hanging="0"/>
        <w:jc w:val="right"/>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right" w:pos="9356" w:leader="none"/>
        </w:tabs>
        <w:spacing w:lineRule="auto" w:line="264" w:before="0" w:after="0"/>
        <w:ind w:left="-15" w:hanging="0"/>
        <w:jc w:val="center"/>
        <w:rPr>
          <w:rFonts w:ascii="Times New Roman" w:hAnsi="Times New Roman" w:cs="Times New Roman"/>
          <w:b/>
          <w:b/>
          <w:sz w:val="28"/>
          <w:szCs w:val="28"/>
        </w:rPr>
      </w:pPr>
      <w:r>
        <w:rPr>
          <w:rFonts w:cs="Times New Roman" w:ascii="Times New Roman" w:hAnsi="Times New Roman"/>
          <w:b/>
          <w:sz w:val="28"/>
          <w:szCs w:val="28"/>
        </w:rPr>
        <w:t>ПАСПОРТ ПРОГРАММЫ</w:t>
      </w:r>
    </w:p>
    <w:p>
      <w:pPr>
        <w:pStyle w:val="Normal"/>
        <w:tabs>
          <w:tab w:val="clear" w:pos="708"/>
          <w:tab w:val="right" w:pos="9356" w:leader="none"/>
        </w:tabs>
        <w:spacing w:lineRule="auto" w:line="264" w:before="0" w:after="0"/>
        <w:ind w:left="-15" w:hanging="0"/>
        <w:jc w:val="both"/>
        <w:rPr>
          <w:rFonts w:ascii="Times New Roman" w:hAnsi="Times New Roman" w:cs="Times New Roman"/>
          <w:b/>
          <w:b/>
          <w:sz w:val="28"/>
          <w:szCs w:val="28"/>
        </w:rPr>
      </w:pPr>
      <w:r>
        <w:rPr>
          <w:rFonts w:cs="Times New Roman" w:ascii="Times New Roman" w:hAnsi="Times New Roman"/>
          <w:b/>
          <w:sz w:val="28"/>
          <w:szCs w:val="28"/>
        </w:rPr>
      </w:r>
    </w:p>
    <w:tbl>
      <w:tblPr>
        <w:tblW w:w="9386" w:type="dxa"/>
        <w:jc w:val="left"/>
        <w:tblInd w:w="0" w:type="dxa"/>
        <w:tblLayout w:type="fixed"/>
        <w:tblCellMar>
          <w:top w:w="0" w:type="dxa"/>
          <w:left w:w="22" w:type="dxa"/>
          <w:bottom w:w="0" w:type="dxa"/>
          <w:right w:w="22" w:type="dxa"/>
        </w:tblCellMar>
        <w:tblLook w:firstRow="1" w:noVBand="1" w:lastRow="0" w:firstColumn="1" w:lastColumn="0" w:noHBand="0" w:val="04a0"/>
      </w:tblPr>
      <w:tblGrid>
        <w:gridCol w:w="2933"/>
        <w:gridCol w:w="6452"/>
      </w:tblGrid>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7"/>
                <w:szCs w:val="27"/>
              </w:rPr>
              <w:t> </w:t>
            </w:r>
            <w:r>
              <w:rPr>
                <w:rFonts w:eastAsia="Times New Roman" w:cs="Times New Roman" w:ascii="Times New Roman" w:hAnsi="Times New Roman"/>
                <w:sz w:val="24"/>
                <w:szCs w:val="24"/>
              </w:rPr>
              <w:t>Наименование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"Комплексное  развитие систем коммунальной инфраструктуры Кропачевского городского</w:t>
            </w:r>
            <w:r>
              <w:rPr>
                <w:rFonts w:eastAsia="Times New Roman" w:cs="Arial" w:ascii="Arial" w:hAnsi="Arial"/>
                <w:sz w:val="18"/>
                <w:szCs w:val="18"/>
              </w:rPr>
              <w:t xml:space="preserve"> </w:t>
            </w:r>
            <w:r>
              <w:rPr>
                <w:rFonts w:eastAsia="Times New Roman" w:cs="Times New Roman" w:ascii="Times New Roman" w:hAnsi="Times New Roman"/>
                <w:sz w:val="24"/>
                <w:szCs w:val="24"/>
              </w:rPr>
              <w:t>поселения на 2021 - 2030г."</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Заказчик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Администрация Кропачевского городского поселения</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Основные разработчики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Администрация Кропачевского городского поселения</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Основные цели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Обеспечение устойчивого функционирования и развития систем коммунального комплекса;</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Повышение качества и надежности предоставления коммунальных услуг населению;</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Модернизация коммунальной инфраструктуры для обеспечения целевых параметров жилищного строительства;</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Приведение в соответствие системы коммунальной инфраструктуры потребностям жилищного и промышленного строительства</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Задачи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Определение потребности объемов и стоимости строительства   и реконструкции сетей и сооружений инженерно-технического обеспечения в том числе:</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Определение сетей и объектов инженерно-технического обеспечения, а также сроки их проектирования и строительства, в соответствии со сроками и освоения перспективных районов;</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Определение объектов инженерно-технического обеспечения требуемых модернизации, источником финансирования которой будут надбавки к тарифам на услуги предприятий коммунального комплекса.</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Сроки реализации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2021-2030 гг.</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Перечень программных мероприятий</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Перечень программных мероприятий содержит объекты модернизации сетей и объектов водоснабжения и водоотведения, теплоснабжения, электроснабжения в местах существующей застройки с участием организаций коммунального комплекса и застройщиков, объекты нового строительства сетей коммунальной инфраструктуры.</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Объем финансирования</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Потребность в финансировании составляет 70392 тыс. руб.</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Источники финансирования</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Федеральный, областной, местный бюджет</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Контроль за исполнением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Администрация Кропачевского городского поселения</w:t>
            </w:r>
          </w:p>
        </w:tc>
      </w:tr>
    </w:tbl>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7"/>
          <w:szCs w:val="27"/>
        </w:rPr>
        <w:t> </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ВВЕДЕНИЕ</w:t>
      </w:r>
    </w:p>
    <w:p>
      <w:pPr>
        <w:pStyle w:val="Normal"/>
        <w:spacing w:lineRule="auto" w:line="240" w:before="180" w:after="120"/>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ab/>
        <w:t>Настоящая Программа разработана в соответствии с Федеральным законом от 06.10.2003 г.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Федеральным законом от 26.12.2005 г. № 184-ФЗ «О внесении изменений в Федеральный закон «Об основах регулирования тарифов организаций коммунального комплекса", Федеральный закон от 21.07.2005 г. № 115-ФЗ «О концессионных соглашениях», Федеральным законом от 10.01.2002 г. № 7-ФЗ «Об охране окружающей среды».</w:t>
      </w:r>
    </w:p>
    <w:p>
      <w:pPr>
        <w:pStyle w:val="Normal"/>
        <w:spacing w:lineRule="auto" w:line="240" w:before="180" w:after="120"/>
        <w:jc w:val="both"/>
        <w:rPr>
          <w:rFonts w:ascii="Times New Roman" w:hAnsi="Times New Roman" w:eastAsia="Times New Roman" w:cs="Times New Roman"/>
          <w:sz w:val="27"/>
          <w:szCs w:val="27"/>
        </w:rPr>
      </w:pPr>
      <w:r>
        <w:rPr>
          <w:rFonts w:eastAsia="Times New Roman" w:cs="Times New Roman" w:ascii="Times New Roman" w:hAnsi="Times New Roman"/>
          <w:sz w:val="27"/>
          <w:szCs w:val="27"/>
        </w:rPr>
        <w:tab/>
      </w:r>
      <w:r>
        <w:rPr>
          <w:rFonts w:eastAsia="Times New Roman" w:cs="Times New Roman"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r>
        <w:rPr>
          <w:rFonts w:eastAsia="Times New Roman" w:cs="Times New Roman" w:ascii="Times New Roman" w:hAnsi="Times New Roman"/>
          <w:sz w:val="27"/>
          <w:szCs w:val="27"/>
        </w:rPr>
        <w:t> </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Глава I. ОСНОВНЫЕ ЦЕЛИ И ЗАДАЧИ ПРОГРАММЫ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ab/>
        <w:t>Целью программы является приведение в соответствие системы коммунальной инфраструктуры потребностям жилищного и промышленного строительства.</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ab/>
        <w:t>В ходе реализации мероприятий программы планируется решить следующую задачу:</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определение потребности объемов и стоимости строительства и реконструкции сетей и сооружений инженерно-технического обеспечения, в том числе:</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определение сетей и объектов инженерно-технического обеспечения, а также сроки их проектирования и строительства;</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определение стоимости строительства по укрупненным показателям;</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определение объектов инженерно-технического обеспечения требующих модернизации, источником финансирования которой будут надбавки к тарифу на услуги предприятий коммунального комплекса.</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7"/>
          <w:szCs w:val="27"/>
        </w:rPr>
        <w:t> </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Глава II. СРОКИ И ЭТАПЫ РЕАЛИЗАЦИИ ПРОГРАММЫ.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2021-2030 годы.</w:t>
      </w:r>
      <w:r>
        <w:rPr>
          <w:rFonts w:eastAsia="Times New Roman" w:cs="Times New Roman" w:ascii="Times New Roman" w:hAnsi="Times New Roman"/>
          <w:sz w:val="27"/>
          <w:szCs w:val="27"/>
        </w:rPr>
        <w:t> </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Глава III. СИСТЕМА ПРОГРАММНЫХ МЕРОПРИЯТИЙ.</w:t>
      </w:r>
    </w:p>
    <w:p>
      <w:pPr>
        <w:pStyle w:val="Normal"/>
        <w:spacing w:lineRule="auto" w:line="240" w:before="180" w:after="12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3.1. Развитие и модернизация систем теплоснабжения</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Производителями тепловой энергии в п. Кропачево являются две муниципальные газовые котельные 9 и 2 МВт, находящиеся на обслуживании в ОАО «Челябкоммунэнерго» и 1 ведомственная мазутная котельная Дирекции по тепловодоснабжению ЮУЖД – филиала ОАО «РЖД». Передача тепловой энергии от котельных к потребителю осуществляется по системе существующих магистральных и распределительных тепловых сетей.</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Протяженность сетей теплоснабжения в двухтрубном исчислении составляет 3706 м. Сети теплоснабжения выполнены из стали, процент износа на 2020 год составляет 60%.-80%</w:t>
      </w:r>
      <w:r>
        <w:rPr>
          <w:rFonts w:eastAsia="Times New Roman" w:cs="Times New Roman" w:ascii="Times New Roman" w:hAnsi="Times New Roman"/>
          <w:sz w:val="27"/>
          <w:szCs w:val="27"/>
        </w:rPr>
        <w:t xml:space="preserve"> </w:t>
      </w:r>
      <w:r>
        <w:rPr>
          <w:rFonts w:eastAsia="Times New Roman" w:cs="Times New Roman" w:ascii="Times New Roman" w:hAnsi="Times New Roman"/>
          <w:sz w:val="24"/>
          <w:szCs w:val="24"/>
        </w:rPr>
        <w:t>и требуют почти 100% замены.</w:t>
      </w:r>
      <w:r>
        <w:rPr>
          <w:rFonts w:eastAsia="Times New Roman" w:cs="Times New Roman" w:ascii="Times New Roman" w:hAnsi="Times New Roman"/>
          <w:sz w:val="27"/>
          <w:szCs w:val="27"/>
        </w:rPr>
        <w:t>7</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Таким образом, основными проблемами системы теплоснабжения поселка Кропачево являются:</w:t>
      </w:r>
    </w:p>
    <w:p>
      <w:pPr>
        <w:pStyle w:val="Normal"/>
        <w:numPr>
          <w:ilvl w:val="0"/>
          <w:numId w:val="2"/>
        </w:numPr>
        <w:spacing w:lineRule="atLeast" w:line="225" w:before="0" w:after="0"/>
        <w:ind w:left="0" w:firstLine="360"/>
        <w:jc w:val="both"/>
        <w:rPr>
          <w:rFonts w:ascii="Arial" w:hAnsi="Arial" w:eastAsia="Times New Roman" w:cs="Arial"/>
          <w:sz w:val="18"/>
          <w:szCs w:val="18"/>
        </w:rPr>
      </w:pPr>
      <w:r>
        <w:rPr>
          <w:rFonts w:eastAsia="Times New Roman" w:cs="Times New Roman" w:ascii="Times New Roman" w:hAnsi="Times New Roman"/>
          <w:sz w:val="24"/>
          <w:szCs w:val="24"/>
        </w:rPr>
        <w:t>Потери при транспортировке тепловой энергии.</w:t>
      </w:r>
    </w:p>
    <w:p>
      <w:pPr>
        <w:pStyle w:val="Normal"/>
        <w:numPr>
          <w:ilvl w:val="0"/>
          <w:numId w:val="2"/>
        </w:numPr>
        <w:spacing w:lineRule="atLeast" w:line="225" w:before="0" w:after="0"/>
        <w:ind w:left="0" w:firstLine="360"/>
        <w:jc w:val="both"/>
        <w:rPr>
          <w:rFonts w:ascii="Arial" w:hAnsi="Arial" w:eastAsia="Times New Roman" w:cs="Arial"/>
          <w:sz w:val="18"/>
          <w:szCs w:val="18"/>
        </w:rPr>
      </w:pPr>
      <w:r>
        <w:rPr>
          <w:rFonts w:eastAsia="Times New Roman" w:cs="Times New Roman" w:ascii="Times New Roman" w:hAnsi="Times New Roman"/>
          <w:sz w:val="24"/>
          <w:szCs w:val="24"/>
        </w:rPr>
        <w:t>Большой процент износа объектов теплоснабжения (сетей), неудовлетворительная теплоизоляция тепловых сетей.</w:t>
      </w:r>
    </w:p>
    <w:p>
      <w:pPr>
        <w:pStyle w:val="Normal"/>
        <w:numPr>
          <w:ilvl w:val="0"/>
          <w:numId w:val="2"/>
        </w:numPr>
        <w:spacing w:lineRule="atLeast" w:line="225" w:before="0" w:after="0"/>
        <w:ind w:left="0" w:firstLine="360"/>
        <w:jc w:val="both"/>
        <w:rPr>
          <w:rFonts w:ascii="Arial" w:hAnsi="Arial" w:eastAsia="Times New Roman" w:cs="Arial"/>
          <w:sz w:val="18"/>
          <w:szCs w:val="18"/>
        </w:rPr>
      </w:pPr>
      <w:r>
        <w:rPr>
          <w:rFonts w:eastAsia="Times New Roman" w:cs="Times New Roman" w:ascii="Times New Roman" w:hAnsi="Times New Roman"/>
          <w:sz w:val="24"/>
          <w:szCs w:val="24"/>
        </w:rPr>
        <w:t>Наличие сетей с неоформленным правом собственности.</w:t>
      </w:r>
    </w:p>
    <w:p>
      <w:pPr>
        <w:pStyle w:val="Normal"/>
        <w:spacing w:lineRule="auto" w:line="240" w:before="180" w:after="120"/>
        <w:ind w:firstLine="360"/>
        <w:rPr>
          <w:rFonts w:ascii="Times New Roman" w:hAnsi="Times New Roman" w:eastAsia="Times New Roman" w:cs="Times New Roman"/>
          <w:sz w:val="27"/>
          <w:szCs w:val="27"/>
        </w:rPr>
      </w:pPr>
      <w:r>
        <w:rPr>
          <w:rFonts w:eastAsia="Times New Roman" w:cs="Times New Roman" w:ascii="Times New Roman" w:hAnsi="Times New Roman"/>
          <w:sz w:val="24"/>
          <w:szCs w:val="24"/>
        </w:rPr>
        <w:t>Модернизация системы отопления в поселке Кропачево позволит сократить потери тепловой энергии, улучшить качество теплоснабжения. Затраты на совершенствование системы теплоснабжения поселка Кропачево за период 2021-2030 годы составят 10000,0 тыс. рублей.</w:t>
      </w:r>
    </w:p>
    <w:p>
      <w:pPr>
        <w:pStyle w:val="Normal"/>
        <w:spacing w:lineRule="auto" w:line="240" w:before="180" w:after="120"/>
        <w:ind w:firstLine="360"/>
        <w:rPr>
          <w:rFonts w:ascii="Times New Roman" w:hAnsi="Times New Roman" w:eastAsia="Times New Roman" w:cs="Times New Roman"/>
          <w:sz w:val="27"/>
          <w:szCs w:val="27"/>
        </w:rPr>
      </w:pPr>
      <w:r>
        <w:rPr>
          <w:rFonts w:eastAsia="Times New Roman" w:cs="Times New Roman" w:ascii="Times New Roman" w:hAnsi="Times New Roman"/>
          <w:sz w:val="24"/>
          <w:szCs w:val="24"/>
        </w:rPr>
        <w:t>Перечень мероприятий по модернизации системы теплоснабжения , а также ориентировочная стоимость представлены в  Приложении №1 к   Программе.</w:t>
      </w:r>
      <w:r>
        <w:rPr>
          <w:rFonts w:eastAsia="Times New Roman" w:cs="Times New Roman" w:ascii="Times New Roman" w:hAnsi="Times New Roman"/>
          <w:sz w:val="27"/>
          <w:szCs w:val="27"/>
        </w:rPr>
        <w:t> </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b/>
          <w:bCs/>
          <w:sz w:val="24"/>
          <w:szCs w:val="24"/>
        </w:rPr>
        <w:t>3.2. Развитие и модернизация систем водоснабжения и водоотведения</w:t>
      </w:r>
    </w:p>
    <w:p>
      <w:pPr>
        <w:pStyle w:val="Normal"/>
        <w:spacing w:lineRule="auto" w:line="240" w:before="180" w:after="12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3.2.1. Водоснабжение</w:t>
      </w:r>
    </w:p>
    <w:p>
      <w:pPr>
        <w:pStyle w:val="Normal"/>
        <w:spacing w:lineRule="auto" w:line="240" w:before="0" w:after="0"/>
        <w:ind w:firstLine="688"/>
        <w:jc w:val="both"/>
        <w:rPr>
          <w:rFonts w:ascii="Times New Roman" w:hAnsi="Times New Roman" w:eastAsia="Times New Roman" w:cs="Times New Roman"/>
          <w:color w:val="auto"/>
          <w:sz w:val="24"/>
          <w:szCs w:val="29"/>
          <w:lang w:eastAsia="ar-SA"/>
        </w:rPr>
      </w:pPr>
      <w:r>
        <w:rPr>
          <w:rFonts w:eastAsia="Times New Roman" w:cs="Times New Roman" w:ascii="Times New Roman" w:hAnsi="Times New Roman"/>
          <w:sz w:val="24"/>
          <w:szCs w:val="24"/>
        </w:rPr>
        <w:t xml:space="preserve">Источником водоснабжения поселка Кропачево являются </w:t>
      </w:r>
      <w:r>
        <w:rPr>
          <w:rFonts w:eastAsia="Times New Roman" w:cs="Times New Roman" w:ascii="Times New Roman" w:hAnsi="Times New Roman"/>
          <w:color w:val="auto"/>
          <w:sz w:val="24"/>
          <w:szCs w:val="29"/>
          <w:lang w:eastAsia="ar-SA"/>
        </w:rPr>
        <w:t>4 артезианские скважины. Количество подаваемой воды составляет 494,2 м</w:t>
      </w:r>
      <w:r>
        <w:rPr>
          <w:rFonts w:eastAsia="Times New Roman" w:cs="Times New Roman" w:ascii="Times New Roman" w:hAnsi="Times New Roman"/>
          <w:color w:val="auto"/>
          <w:sz w:val="24"/>
          <w:szCs w:val="29"/>
          <w:vertAlign w:val="superscript"/>
          <w:lang w:eastAsia="ar-SA"/>
        </w:rPr>
        <w:t>3</w:t>
      </w:r>
      <w:r>
        <w:rPr>
          <w:rFonts w:eastAsia="Times New Roman" w:cs="Times New Roman" w:ascii="Times New Roman" w:hAnsi="Times New Roman"/>
          <w:color w:val="auto"/>
          <w:sz w:val="24"/>
          <w:szCs w:val="29"/>
          <w:lang w:eastAsia="ar-SA"/>
        </w:rPr>
        <w:t xml:space="preserve">/сут, из них на хоз-питьевые нужды населения </w:t>
      </w:r>
      <w:r>
        <w:rPr>
          <w:rFonts w:eastAsia="Times New Roman" w:cs="Times New Roman" w:ascii="Times New Roman" w:hAnsi="Times New Roman"/>
          <w:color w:val="auto"/>
          <w:sz w:val="24"/>
          <w:szCs w:val="24"/>
          <w:lang w:eastAsia="ar-SA"/>
        </w:rPr>
        <w:t>–</w:t>
      </w:r>
      <w:r>
        <w:rPr>
          <w:rFonts w:eastAsia="Times New Roman" w:cs="Times New Roman" w:ascii="Times New Roman" w:hAnsi="Times New Roman"/>
          <w:color w:val="auto"/>
          <w:sz w:val="24"/>
          <w:szCs w:val="29"/>
          <w:lang w:eastAsia="ar-SA"/>
        </w:rPr>
        <w:t xml:space="preserve"> 290,4 м</w:t>
      </w:r>
      <w:r>
        <w:rPr>
          <w:rFonts w:eastAsia="Times New Roman" w:cs="Times New Roman" w:ascii="Times New Roman" w:hAnsi="Times New Roman"/>
          <w:color w:val="auto"/>
          <w:sz w:val="24"/>
          <w:szCs w:val="29"/>
          <w:vertAlign w:val="superscript"/>
          <w:lang w:eastAsia="ar-SA"/>
        </w:rPr>
        <w:t>3</w:t>
      </w:r>
      <w:r>
        <w:rPr>
          <w:rFonts w:eastAsia="Times New Roman" w:cs="Times New Roman" w:ascii="Times New Roman" w:hAnsi="Times New Roman"/>
          <w:color w:val="auto"/>
          <w:sz w:val="24"/>
          <w:szCs w:val="29"/>
          <w:lang w:eastAsia="ar-SA"/>
        </w:rPr>
        <w:t xml:space="preserve">/сут, на производственные нужды </w:t>
      </w:r>
      <w:r>
        <w:rPr>
          <w:rFonts w:eastAsia="Times New Roman" w:cs="Times New Roman" w:ascii="Times New Roman" w:hAnsi="Times New Roman"/>
          <w:color w:val="auto"/>
          <w:sz w:val="24"/>
          <w:szCs w:val="24"/>
          <w:lang w:eastAsia="ar-SA"/>
        </w:rPr>
        <w:t>–</w:t>
      </w:r>
      <w:r>
        <w:rPr>
          <w:rFonts w:eastAsia="Times New Roman" w:cs="Times New Roman" w:ascii="Times New Roman" w:hAnsi="Times New Roman"/>
          <w:color w:val="auto"/>
          <w:sz w:val="24"/>
          <w:szCs w:val="29"/>
          <w:lang w:eastAsia="ar-SA"/>
        </w:rPr>
        <w:t xml:space="preserve"> 203,8 м</w:t>
      </w:r>
      <w:r>
        <w:rPr>
          <w:rFonts w:eastAsia="Times New Roman" w:cs="Times New Roman" w:ascii="Times New Roman" w:hAnsi="Times New Roman"/>
          <w:color w:val="auto"/>
          <w:sz w:val="24"/>
          <w:szCs w:val="29"/>
          <w:vertAlign w:val="superscript"/>
          <w:lang w:eastAsia="ar-SA"/>
        </w:rPr>
        <w:t>3</w:t>
      </w:r>
      <w:r>
        <w:rPr>
          <w:rFonts w:eastAsia="Times New Roman" w:cs="Times New Roman" w:ascii="Times New Roman" w:hAnsi="Times New Roman"/>
          <w:color w:val="auto"/>
          <w:sz w:val="24"/>
          <w:szCs w:val="29"/>
          <w:lang w:eastAsia="ar-SA"/>
        </w:rPr>
        <w:t xml:space="preserve">/сут. Общая протяженность водопроводных сетей </w:t>
      </w:r>
      <w:r>
        <w:rPr>
          <w:rFonts w:eastAsia="Times New Roman" w:cs="Times New Roman" w:ascii="Times New Roman" w:hAnsi="Times New Roman"/>
          <w:color w:val="auto"/>
          <w:sz w:val="24"/>
          <w:szCs w:val="24"/>
          <w:lang w:eastAsia="ar-SA"/>
        </w:rPr>
        <w:t>–</w:t>
      </w:r>
      <w:r>
        <w:rPr>
          <w:rFonts w:eastAsia="Times New Roman" w:cs="Times New Roman" w:ascii="Times New Roman" w:hAnsi="Times New Roman"/>
          <w:color w:val="auto"/>
          <w:sz w:val="24"/>
          <w:szCs w:val="29"/>
          <w:lang w:eastAsia="ar-SA"/>
        </w:rPr>
        <w:t xml:space="preserve"> 24,3 км. Износ сетей и сооружений водопровода </w:t>
      </w:r>
      <w:r>
        <w:rPr>
          <w:rFonts w:eastAsia="Times New Roman" w:cs="Times New Roman" w:ascii="Times New Roman" w:hAnsi="Times New Roman"/>
          <w:color w:val="auto"/>
          <w:sz w:val="24"/>
          <w:szCs w:val="24"/>
          <w:lang w:eastAsia="ar-SA"/>
        </w:rPr>
        <w:t>–</w:t>
      </w:r>
      <w:r>
        <w:rPr>
          <w:rFonts w:eastAsia="Times New Roman" w:cs="Times New Roman" w:ascii="Times New Roman" w:hAnsi="Times New Roman"/>
          <w:color w:val="auto"/>
          <w:sz w:val="24"/>
          <w:szCs w:val="29"/>
          <w:lang w:eastAsia="ar-SA"/>
        </w:rPr>
        <w:t xml:space="preserve"> 81%.</w:t>
      </w:r>
    </w:p>
    <w:p>
      <w:pPr>
        <w:pStyle w:val="Normal"/>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ab/>
        <w:t>Существующие скважины находятся в условиях, не отвечающих санитарно-гигиеническим требованиям, нет ограждения зоны строго режима, проекты зон санитарной охраны источников отсутствуют.</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Основной водовод диаметром 200 мм снабжает водой газовую котельную 9 мВт и дома по ул.Вокзальная, ул. Пушкина, ул.Свердлова.</w:t>
      </w:r>
      <w:r>
        <w:rPr>
          <w:rFonts w:eastAsia="Times New Roman" w:cs="Times New Roman" w:ascii="Times New Roman" w:hAnsi="Times New Roman"/>
          <w:b/>
          <w:bCs/>
          <w:sz w:val="24"/>
          <w:szCs w:val="24"/>
        </w:rPr>
        <w:t> </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Основной водовод диаметром 200 мм проходит по улицам Кирова, Октябрьская, Пролетарская, Советская, Ленина, Молодежная, Строителей, Нагорная и заканчивается нагорным резервуаром №2 объёмом 600 м</w:t>
      </w:r>
      <w:r>
        <w:rPr>
          <w:rFonts w:eastAsia="Times New Roman" w:cs="Times New Roman" w:ascii="Times New Roman" w:hAnsi="Times New Roman"/>
          <w:sz w:val="24"/>
          <w:szCs w:val="24"/>
          <w:vertAlign w:val="superscript"/>
        </w:rPr>
        <w:t>3 </w:t>
      </w:r>
      <w:r>
        <w:rPr>
          <w:rFonts w:eastAsia="Times New Roman" w:cs="Times New Roman" w:ascii="Times New Roman" w:hAnsi="Times New Roman"/>
          <w:sz w:val="24"/>
          <w:szCs w:val="24"/>
        </w:rPr>
        <w:t>и снабжают водой потребителей по ул.Куйбышева, ул.Паровозной, частично по ул.Вокзальной и котельную Локомотивного депо.</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Скважина №5942 снабжает водой потребителей по ул.Пушкина, Через перемычку ул.Свердлова,12- ул.Пушкина, 4Б может подавать воду по ул.Свердлова, Рокутова, Нефтяников и газовую котельную 2 мВт.. Второй перемычкой соединен с основным водоводом диаметром 150 мм.</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Протяженность водопроводных сетей составляет 25089 м.</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Сложившаяся в настоящее время схема водоснабжения и отсутствие автоматики управления работой насосов не позволяет должным образом согласовать работу насосов   на скважинах с разбором воды потребителями. Нагорный резервуар расположен в конце водопроводной сети и не выполняет функции водонапорной башни. Насосы на скважинах работают непрерывно, что приводит к повышенному расходу электроэнергии на водоснабжение поселка. Для сглаживания режимов работы насосных станций 2-го подъема используются водонапорные башни, так как при значительной неравномерности водопотребления практически трудно, либо невыгодно добиваться совпадения потребления и подачи воды.</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Опыт эксплуатации водонапорных башен показывает, что они работают ненадежно, в зимнее время промерзают.</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В связи со сложившейся ситуацией в Кропачевском городском поселении возникла необходимость строительства 2 (двух) объектов водоочистки и обеззараживания воды в Кропачевском городском поселении Ашинского муниципального района Челябинской области.</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Альтернативным вариантом для регулирования подачи воды является использование частотно-регулируемого электропривода насосов, что позволит сократить потребление электроэнергии на водоснабжение.</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Для получения водопроводной воды, удовлетворяющей по качеству требованиям СанПин 2.1.4.1074-01 «Питьевая вода» требовалось строительство сооружения для очистки и обеззараживания воды.</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Стоимость работ, необходимых для модернизации систем водоснабжения Кропачевского городского поселения составляет 52673 тыс.руб.</w:t>
      </w:r>
    </w:p>
    <w:p>
      <w:pPr>
        <w:pStyle w:val="Normal"/>
        <w:spacing w:lineRule="auto" w:line="240" w:before="180" w:after="120"/>
        <w:ind w:firstLine="708"/>
        <w:jc w:val="both"/>
        <w:rPr>
          <w:rFonts w:ascii="Times New Roman" w:hAnsi="Times New Roman" w:eastAsia="Times New Roman" w:cs="Times New Roman"/>
          <w:sz w:val="27"/>
          <w:szCs w:val="27"/>
        </w:rPr>
      </w:pPr>
      <w:r>
        <w:rPr>
          <w:rFonts w:eastAsia="Times New Roman" w:cs="Times New Roman" w:ascii="Times New Roman" w:hAnsi="Times New Roman"/>
          <w:sz w:val="24"/>
          <w:szCs w:val="24"/>
        </w:rPr>
        <w:t>Перечень мероприятий по модернизации системы водоснабжения, а также ориентировочная стоимость представлены в  Приложении №1 к   Программе.</w:t>
      </w:r>
      <w:r>
        <w:rPr>
          <w:rFonts w:eastAsia="Times New Roman" w:cs="Times New Roman" w:ascii="Times New Roman" w:hAnsi="Times New Roman"/>
          <w:sz w:val="27"/>
          <w:szCs w:val="27"/>
        </w:rPr>
        <w:t> </w:t>
      </w:r>
    </w:p>
    <w:p>
      <w:pPr>
        <w:pStyle w:val="Normal"/>
        <w:spacing w:lineRule="atLeast" w:line="100" w:before="0" w:after="57"/>
        <w:ind w:firstLine="688"/>
        <w:jc w:val="center"/>
        <w:rPr>
          <w:rFonts w:ascii="Times New Roman" w:hAnsi="Times New Roman" w:eastAsia="Times New Roman" w:cs="Times New Roman"/>
          <w:b/>
          <w:b/>
          <w:bCs/>
          <w:color w:val="auto"/>
          <w:sz w:val="24"/>
          <w:szCs w:val="24"/>
          <w:lang w:eastAsia="ar-SA"/>
        </w:rPr>
      </w:pPr>
      <w:r>
        <w:rPr>
          <w:rFonts w:eastAsia="Times New Roman" w:cs="Times New Roman" w:ascii="Times New Roman" w:hAnsi="Times New Roman"/>
          <w:b/>
          <w:bCs/>
          <w:color w:val="auto"/>
          <w:sz w:val="24"/>
          <w:szCs w:val="24"/>
          <w:lang w:eastAsia="ar-SA"/>
        </w:rPr>
        <w:t>Проектные предложения</w:t>
      </w:r>
    </w:p>
    <w:p>
      <w:pPr>
        <w:pStyle w:val="Normal"/>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Реконструкция подземных водозаборов с использованием современного насосного оборудования, реконструкция систем обеззараживания воды с использованием современного бактерицидного оборудования; строительство новых водопроводных сетей и реконструкция существующих; организация и обустройство ЗСО источников питьевого водоснабжения.</w:t>
      </w:r>
    </w:p>
    <w:p>
      <w:pPr>
        <w:pStyle w:val="ListParagraph"/>
        <w:numPr>
          <w:ilvl w:val="2"/>
          <w:numId w:val="3"/>
        </w:numPr>
        <w:spacing w:lineRule="auto" w:line="240" w:before="180" w:after="120"/>
        <w:contextualSpacing/>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Водоотведение</w:t>
      </w:r>
    </w:p>
    <w:p>
      <w:pPr>
        <w:pStyle w:val="Normal"/>
        <w:spacing w:lineRule="atLeast" w:line="10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Сточные воды от канализованной части застройки города собираются системой самотечно-напорных коллекторов и отводятся на площадку очистных сооружений канализации. Производительность очистных сооружений канализации 1400 м</w:t>
      </w:r>
      <w:r>
        <w:rPr>
          <w:rFonts w:eastAsia="Times New Roman" w:cs="Times New Roman" w:ascii="Times New Roman" w:hAnsi="Times New Roman"/>
          <w:color w:val="auto"/>
          <w:sz w:val="24"/>
          <w:szCs w:val="24"/>
          <w:vertAlign w:val="superscript"/>
          <w:lang w:eastAsia="ar-SA"/>
        </w:rPr>
        <w:t>3</w:t>
      </w:r>
      <w:r>
        <w:rPr>
          <w:rFonts w:eastAsia="Times New Roman" w:cs="Times New Roman" w:ascii="Times New Roman" w:hAnsi="Times New Roman"/>
          <w:color w:val="auto"/>
          <w:sz w:val="24"/>
          <w:szCs w:val="24"/>
          <w:lang w:eastAsia="ar-SA"/>
        </w:rPr>
        <w:t>/сут. Фактическое количество сточных вод, поступающих на очистные сооружения, 109 тыс. м</w:t>
      </w:r>
      <w:r>
        <w:rPr>
          <w:rFonts w:eastAsia="Times New Roman" w:cs="Times New Roman" w:ascii="Times New Roman" w:hAnsi="Times New Roman"/>
          <w:color w:val="auto"/>
          <w:sz w:val="24"/>
          <w:szCs w:val="24"/>
          <w:vertAlign w:val="superscript"/>
          <w:lang w:eastAsia="ar-SA"/>
        </w:rPr>
        <w:t>3</w:t>
      </w:r>
      <w:r>
        <w:rPr>
          <w:rFonts w:eastAsia="Times New Roman" w:cs="Times New Roman" w:ascii="Times New Roman" w:hAnsi="Times New Roman"/>
          <w:color w:val="auto"/>
          <w:sz w:val="24"/>
          <w:szCs w:val="24"/>
          <w:lang w:eastAsia="ar-SA"/>
        </w:rPr>
        <w:t>/год (300 м</w:t>
      </w:r>
      <w:r>
        <w:rPr>
          <w:rFonts w:eastAsia="Times New Roman" w:cs="Times New Roman" w:ascii="Times New Roman" w:hAnsi="Times New Roman"/>
          <w:color w:val="auto"/>
          <w:sz w:val="24"/>
          <w:szCs w:val="24"/>
          <w:vertAlign w:val="superscript"/>
          <w:lang w:eastAsia="ar-SA"/>
        </w:rPr>
        <w:t>3</w:t>
      </w:r>
      <w:r>
        <w:rPr>
          <w:rFonts w:eastAsia="Times New Roman" w:cs="Times New Roman" w:ascii="Times New Roman" w:hAnsi="Times New Roman"/>
          <w:color w:val="auto"/>
          <w:sz w:val="24"/>
          <w:szCs w:val="24"/>
          <w:lang w:eastAsia="ar-SA"/>
        </w:rPr>
        <w:t>/сут). Характеристика сбрасываемых очищенных стоков – недостаточно-очищенные. Сброс производится в р. Бердяш.</w:t>
      </w:r>
    </w:p>
    <w:p>
      <w:pPr>
        <w:pStyle w:val="Normal"/>
        <w:spacing w:lineRule="atLeast" w:line="10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ab/>
        <w:t xml:space="preserve">Население, проживающее в неканализованной застройке городских поселений, использует выгребы и надворные туалеты. </w:t>
      </w:r>
    </w:p>
    <w:p>
      <w:pPr>
        <w:pStyle w:val="Normal"/>
        <w:spacing w:lineRule="atLeast" w:line="10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ab/>
        <w:t xml:space="preserve">Общее состояние существующих систем канализации можно охарактеризовать как неудовлетворительное. Существующие канализационные сети и насосные станции изношены и находятся в аварийном состоянии. </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Очистные сооружения канализации (ОСК) введены в эксплуатацию в 1981 году.</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Комплекс очистных сооружений включает в себя:</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самотечный канализационный коллектор из керамических труб диаметром 350 мм, длиной 939 м.,</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два здания решеток,</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блок аэротенков и отстойников, ширина секции 6,0 м.,</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ершовый лоток – смеситель,</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контактные резервуары, в виде двух спаренных колодцев,</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иловые площадки – три карты,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производственные здания,</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насосная станция перекачки дренажных вод с иловых площадок, биологический пруд.</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Воздуходувная станция с воздуходувой ТВ-50-1,6.</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Протяженность канализационных сетей составляет 8390 м., диаметры 100,150,200,300 мм. Материал труб чугун, асбоцемент.</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Канализационные сети строились с 1980 по 1990 гг. В настоящее время износ труб составляет от 40 до 82%.</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Учет стоков, поступающих от населения и прочих потребителей – по установленным водосчетчикам, в случае их отсутствия – по утвержденным нормативам.</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По результатам проверок работы очистных сооружений, проводимых Комитетом по экологии и природопользованию Ашинского муниципального района показано, что сточные воды не очищаются до проектных нормативов сброса, биологическая очистка сточных вод работает неудовлетворительно. Биологические пруды заилены и требуют капитальной очистки, аэротенки работают неудовлетворительно и нуждаются в капитальном ремонте, необходима резервная более экономичная воздуходувка.</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Таким образом на очистных сооружениях требуется глубокая очистка стоков от биогенных элементов.</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Стоимость работ, необходимых для модернизации системы водоотведения Кропачевского городского поселения составляет 4719 тыс. руб.</w:t>
      </w:r>
    </w:p>
    <w:p>
      <w:pPr>
        <w:pStyle w:val="Normal"/>
        <w:spacing w:lineRule="auto" w:line="240" w:before="180" w:after="120"/>
        <w:ind w:firstLine="708"/>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Перечень мероприятий по модернизации системы водоотведения, а также ориентировочная стоимость представлены в  Приложении №1 к   Программе.</w:t>
      </w:r>
    </w:p>
    <w:p>
      <w:pPr>
        <w:pStyle w:val="Normal"/>
        <w:spacing w:lineRule="atLeast" w:line="100" w:before="113" w:after="57"/>
        <w:ind w:firstLine="12"/>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Проектные предложения</w:t>
      </w:r>
    </w:p>
    <w:p>
      <w:pPr>
        <w:pStyle w:val="Normal"/>
        <w:suppressAutoHyphens w:val="true"/>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Реконструкция и строительство самотечных и напорных коллекторов к районам нового строительства и существующей застройки; реконструкция существующих очистных сооружений канализации и строительства сооружений доочистки и обеззараживания.</w:t>
      </w:r>
    </w:p>
    <w:p>
      <w:pPr>
        <w:pStyle w:val="Normal"/>
        <w:suppressAutoHyphens w:val="true"/>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r>
    </w:p>
    <w:p>
      <w:pPr>
        <w:pStyle w:val="ListParagraph"/>
        <w:numPr>
          <w:ilvl w:val="2"/>
          <w:numId w:val="3"/>
        </w:numPr>
        <w:suppressAutoHyphens w:val="true"/>
        <w:spacing w:lineRule="auto" w:line="240" w:before="0" w:after="0"/>
        <w:contextualSpacing/>
        <w:jc w:val="both"/>
        <w:rPr>
          <w:rFonts w:ascii="Times New Roman" w:hAnsi="Times New Roman" w:eastAsia="Times New Roman" w:cs="Times New Roman"/>
          <w:b/>
          <w:b/>
          <w:color w:val="auto"/>
          <w:sz w:val="24"/>
          <w:szCs w:val="24"/>
          <w:lang w:eastAsia="ar-SA"/>
        </w:rPr>
      </w:pPr>
      <w:r>
        <w:rPr>
          <w:rFonts w:eastAsia="Times New Roman" w:cs="Times New Roman" w:ascii="Times New Roman" w:hAnsi="Times New Roman"/>
          <w:b/>
          <w:color w:val="auto"/>
          <w:sz w:val="24"/>
          <w:szCs w:val="24"/>
          <w:lang w:eastAsia="ar-SA"/>
        </w:rPr>
        <w:t>Теплоснабжение</w:t>
      </w:r>
    </w:p>
    <w:p>
      <w:pPr>
        <w:pStyle w:val="ListParagraph"/>
        <w:suppressAutoHyphens w:val="true"/>
        <w:spacing w:lineRule="auto" w:line="240" w:before="0" w:after="0"/>
        <w:ind w:left="1080" w:hanging="0"/>
        <w:contextualSpacing/>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Потребителями тепла являются:</w:t>
      </w:r>
    </w:p>
    <w:p>
      <w:pPr>
        <w:pStyle w:val="ListParagraph"/>
        <w:suppressAutoHyphens w:val="true"/>
        <w:spacing w:lineRule="auto" w:line="240" w:before="0" w:after="0"/>
        <w:ind w:left="1080" w:hanging="0"/>
        <w:contextualSpacing/>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w:t>
        <w:tab/>
        <w:t>существующая жилая застройка;</w:t>
      </w:r>
    </w:p>
    <w:p>
      <w:pPr>
        <w:pStyle w:val="ListParagraph"/>
        <w:suppressAutoHyphens w:val="true"/>
        <w:spacing w:lineRule="auto" w:line="240" w:before="0" w:after="0"/>
        <w:ind w:left="1080" w:hanging="0"/>
        <w:contextualSpacing/>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здания и сооружения соцкультбыта;</w:t>
      </w:r>
    </w:p>
    <w:p>
      <w:pPr>
        <w:pStyle w:val="ListParagraph"/>
        <w:suppressAutoHyphens w:val="true"/>
        <w:spacing w:lineRule="auto" w:line="240" w:before="0" w:after="0"/>
        <w:ind w:left="1080" w:hanging="0"/>
        <w:contextualSpacing/>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r>
    </w:p>
    <w:p>
      <w:pPr>
        <w:pStyle w:val="Normal"/>
        <w:suppressAutoHyphens w:val="true"/>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Расчет расходов тепла на исходный год и расчетный срок (на новое строительство) по Кропачевскому городскому поселению приведен в таблице.</w:t>
      </w:r>
    </w:p>
    <w:tbl>
      <w:tblPr>
        <w:tblW w:w="9678" w:type="dxa"/>
        <w:jc w:val="left"/>
        <w:tblInd w:w="-20" w:type="dxa"/>
        <w:tblLayout w:type="fixed"/>
        <w:tblCellMar>
          <w:top w:w="74" w:type="dxa"/>
          <w:left w:w="17" w:type="dxa"/>
          <w:bottom w:w="74" w:type="dxa"/>
          <w:right w:w="17" w:type="dxa"/>
        </w:tblCellMar>
        <w:tblLook w:firstRow="0" w:noVBand="0" w:lastRow="0" w:firstColumn="0" w:lastColumn="0" w:noHBand="0" w:val="0000"/>
      </w:tblPr>
      <w:tblGrid>
        <w:gridCol w:w="1442"/>
        <w:gridCol w:w="1057"/>
        <w:gridCol w:w="1044"/>
        <w:gridCol w:w="742"/>
        <w:gridCol w:w="1092"/>
        <w:gridCol w:w="2756"/>
        <w:gridCol w:w="1524"/>
        <w:gridCol w:w="19"/>
      </w:tblGrid>
      <w:tr>
        <w:trPr>
          <w:trHeight w:val="541" w:hRule="atLeast"/>
        </w:trPr>
        <w:tc>
          <w:tcPr>
            <w:tcW w:w="965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ind w:firstLine="688"/>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Кропачевское городское поселение</w:t>
            </w:r>
          </w:p>
        </w:tc>
        <w:tc>
          <w:tcPr>
            <w:tcW w:w="19" w:type="dxa"/>
            <w:tcBorders/>
            <w:tcMar>
              <w:top w:w="15" w:type="dxa"/>
              <w:left w:w="15" w:type="dxa"/>
              <w:bottom w:w="15" w:type="dxa"/>
              <w:right w:w="15" w:type="dxa"/>
            </w:tcMar>
          </w:tcPr>
          <w:p>
            <w:pPr>
              <w:pStyle w:val="Normal"/>
              <w:widowControl w:val="false"/>
              <w:spacing w:before="0" w:after="160"/>
              <w:rPr>
                <w:rFonts w:ascii="Times New Roman" w:hAnsi="Times New Roman" w:cs="Times New Roman"/>
                <w:sz w:val="24"/>
                <w:szCs w:val="24"/>
              </w:rPr>
            </w:pPr>
            <w:r>
              <w:rPr/>
            </w:r>
          </w:p>
        </w:tc>
      </w:tr>
      <w:tr>
        <w:trPr>
          <w:trHeight w:val="360" w:hRule="atLeast"/>
        </w:trPr>
        <w:tc>
          <w:tcPr>
            <w:tcW w:w="14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5,023</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27,730</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0,000</w:t>
            </w:r>
          </w:p>
        </w:tc>
        <w:tc>
          <w:tcPr>
            <w:tcW w:w="7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1,632</w:t>
            </w:r>
          </w:p>
        </w:tc>
        <w:tc>
          <w:tcPr>
            <w:tcW w:w="10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29,362</w:t>
            </w:r>
          </w:p>
        </w:tc>
        <w:tc>
          <w:tcPr>
            <w:tcW w:w="2756" w:type="dxa"/>
            <w:tcBorders/>
            <w:tcMar>
              <w:top w:w="15" w:type="dxa"/>
              <w:left w:w="15" w:type="dxa"/>
              <w:bottom w:w="15" w:type="dxa"/>
              <w:right w:w="15" w:type="dxa"/>
            </w:tcMar>
          </w:tcPr>
          <w:p>
            <w:pPr>
              <w:pStyle w:val="Normal"/>
              <w:widowControl w:val="false"/>
              <w:spacing w:before="0" w:after="160"/>
              <w:rPr>
                <w:rFonts w:ascii="Times New Roman" w:hAnsi="Times New Roman" w:cs="Times New Roman"/>
                <w:sz w:val="24"/>
                <w:szCs w:val="24"/>
              </w:rPr>
            </w:pPr>
            <w:r>
              <w:rPr/>
            </w:r>
          </w:p>
        </w:tc>
        <w:tc>
          <w:tcPr>
            <w:tcW w:w="1524" w:type="dxa"/>
            <w:tcBorders/>
            <w:tcMar>
              <w:top w:w="15" w:type="dxa"/>
              <w:left w:w="15" w:type="dxa"/>
              <w:bottom w:w="15" w:type="dxa"/>
              <w:right w:w="15" w:type="dxa"/>
            </w:tcMar>
          </w:tcPr>
          <w:p>
            <w:pPr>
              <w:pStyle w:val="Normal"/>
              <w:widowControl w:val="false"/>
              <w:spacing w:before="0" w:after="160"/>
              <w:rPr>
                <w:rFonts w:ascii="Times New Roman" w:hAnsi="Times New Roman" w:cs="Times New Roman"/>
                <w:sz w:val="24"/>
                <w:szCs w:val="24"/>
              </w:rPr>
            </w:pPr>
            <w:r>
              <w:rPr/>
            </w:r>
          </w:p>
        </w:tc>
        <w:tc>
          <w:tcPr>
            <w:tcW w:w="19" w:type="dxa"/>
            <w:tcBorders/>
            <w:tcMar>
              <w:top w:w="15" w:type="dxa"/>
              <w:left w:w="15" w:type="dxa"/>
              <w:bottom w:w="15" w:type="dxa"/>
              <w:right w:w="15" w:type="dxa"/>
            </w:tcMar>
          </w:tcPr>
          <w:p>
            <w:pPr>
              <w:pStyle w:val="Normal"/>
              <w:widowControl w:val="false"/>
              <w:spacing w:before="0" w:after="160"/>
              <w:rPr>
                <w:rFonts w:ascii="Times New Roman" w:hAnsi="Times New Roman" w:cs="Times New Roman"/>
                <w:sz w:val="24"/>
                <w:szCs w:val="24"/>
              </w:rPr>
            </w:pPr>
            <w:r>
              <w:rPr/>
            </w:r>
          </w:p>
        </w:tc>
      </w:tr>
      <w:tr>
        <w:trPr>
          <w:trHeight w:val="405" w:hRule="atLeast"/>
        </w:trPr>
        <w:tc>
          <w:tcPr>
            <w:tcW w:w="8133"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ИТОГО с учетом потерь 10%</w:t>
            </w:r>
          </w:p>
        </w:tc>
        <w:tc>
          <w:tcPr>
            <w:tcW w:w="15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32,3</w:t>
            </w:r>
          </w:p>
        </w:tc>
      </w:tr>
      <w:tr>
        <w:trPr>
          <w:trHeight w:val="390" w:hRule="atLeast"/>
        </w:trPr>
        <w:tc>
          <w:tcPr>
            <w:tcW w:w="14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0,0</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10,385</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0,000</w:t>
            </w:r>
          </w:p>
        </w:tc>
        <w:tc>
          <w:tcPr>
            <w:tcW w:w="7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0,000</w:t>
            </w:r>
          </w:p>
        </w:tc>
        <w:tc>
          <w:tcPr>
            <w:tcW w:w="10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10,385</w:t>
            </w:r>
          </w:p>
        </w:tc>
        <w:tc>
          <w:tcPr>
            <w:tcW w:w="2756" w:type="dxa"/>
            <w:tcBorders/>
            <w:tcMar>
              <w:top w:w="15" w:type="dxa"/>
              <w:left w:w="15" w:type="dxa"/>
              <w:bottom w:w="15" w:type="dxa"/>
              <w:right w:w="15" w:type="dxa"/>
            </w:tcMar>
          </w:tcPr>
          <w:p>
            <w:pPr>
              <w:pStyle w:val="Normal"/>
              <w:widowControl w:val="false"/>
              <w:spacing w:before="0" w:after="160"/>
              <w:rPr>
                <w:rFonts w:ascii="Times New Roman" w:hAnsi="Times New Roman" w:cs="Times New Roman"/>
                <w:sz w:val="24"/>
                <w:szCs w:val="24"/>
              </w:rPr>
            </w:pPr>
            <w:r>
              <w:rPr/>
            </w:r>
          </w:p>
        </w:tc>
        <w:tc>
          <w:tcPr>
            <w:tcW w:w="1524" w:type="dxa"/>
            <w:tcBorders/>
            <w:tcMar>
              <w:top w:w="15" w:type="dxa"/>
              <w:left w:w="15" w:type="dxa"/>
              <w:bottom w:w="15" w:type="dxa"/>
              <w:right w:w="15" w:type="dxa"/>
            </w:tcMar>
          </w:tcPr>
          <w:p>
            <w:pPr>
              <w:pStyle w:val="Normal"/>
              <w:widowControl w:val="false"/>
              <w:spacing w:before="0" w:after="160"/>
              <w:rPr>
                <w:rFonts w:ascii="Times New Roman" w:hAnsi="Times New Roman" w:cs="Times New Roman"/>
                <w:sz w:val="24"/>
                <w:szCs w:val="24"/>
              </w:rPr>
            </w:pPr>
            <w:r>
              <w:rPr/>
            </w:r>
          </w:p>
        </w:tc>
        <w:tc>
          <w:tcPr>
            <w:tcW w:w="19" w:type="dxa"/>
            <w:tcBorders/>
            <w:tcMar>
              <w:top w:w="15" w:type="dxa"/>
              <w:left w:w="15" w:type="dxa"/>
              <w:bottom w:w="15" w:type="dxa"/>
              <w:right w:w="15" w:type="dxa"/>
            </w:tcMar>
          </w:tcPr>
          <w:p>
            <w:pPr>
              <w:pStyle w:val="Normal"/>
              <w:widowControl w:val="false"/>
              <w:spacing w:before="0" w:after="160"/>
              <w:rPr>
                <w:rFonts w:ascii="Times New Roman" w:hAnsi="Times New Roman" w:cs="Times New Roman"/>
                <w:sz w:val="24"/>
                <w:szCs w:val="24"/>
              </w:rPr>
            </w:pPr>
            <w:r>
              <w:rPr/>
            </w:r>
          </w:p>
        </w:tc>
      </w:tr>
      <w:tr>
        <w:trPr>
          <w:trHeight w:val="390" w:hRule="atLeast"/>
        </w:trPr>
        <w:tc>
          <w:tcPr>
            <w:tcW w:w="8133"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ИТОГО с учетом потерь 10%</w:t>
            </w:r>
          </w:p>
        </w:tc>
        <w:tc>
          <w:tcPr>
            <w:tcW w:w="15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11,42</w:t>
            </w:r>
          </w:p>
        </w:tc>
      </w:tr>
    </w:tbl>
    <w:p>
      <w:pPr>
        <w:pStyle w:val="ListParagraph"/>
        <w:suppressAutoHyphens w:val="true"/>
        <w:spacing w:lineRule="auto" w:line="240" w:before="0" w:after="0"/>
        <w:ind w:left="0" w:hanging="0"/>
        <w:contextualSpacing/>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r>
    </w:p>
    <w:p>
      <w:pPr>
        <w:pStyle w:val="Normal"/>
        <w:suppressAutoHyphens w:val="true"/>
        <w:spacing w:lineRule="auto" w:line="240" w:before="0" w:after="0"/>
        <w:jc w:val="center"/>
        <w:rPr>
          <w:rFonts w:ascii="Times New Roman" w:hAnsi="Times New Roman" w:eastAsia="Times New Roman" w:cs="Times New Roman"/>
          <w:b/>
          <w:b/>
          <w:bCs/>
          <w:color w:val="auto"/>
          <w:sz w:val="24"/>
          <w:szCs w:val="24"/>
          <w:lang w:eastAsia="ar-SA"/>
        </w:rPr>
      </w:pPr>
      <w:r>
        <w:rPr>
          <w:rFonts w:eastAsia="Times New Roman" w:cs="Times New Roman" w:ascii="Times New Roman" w:hAnsi="Times New Roman"/>
          <w:b/>
          <w:bCs/>
          <w:color w:val="auto"/>
          <w:sz w:val="24"/>
          <w:szCs w:val="24"/>
          <w:lang w:eastAsia="ar-SA"/>
        </w:rPr>
        <w:t>Источники теплоснабжения</w:t>
      </w:r>
    </w:p>
    <w:p>
      <w:pPr>
        <w:pStyle w:val="Normal"/>
        <w:suppressAutoHyphens w:val="true"/>
        <w:spacing w:lineRule="auto" w:line="240" w:before="0" w:after="57"/>
        <w:jc w:val="center"/>
        <w:rPr>
          <w:rFonts w:ascii="Times New Roman" w:hAnsi="Times New Roman" w:eastAsia="Times New Roman" w:cs="Times New Roman"/>
          <w:color w:val="auto"/>
          <w:sz w:val="24"/>
          <w:szCs w:val="24"/>
          <w:u w:val="single"/>
          <w:lang w:eastAsia="ar-SA"/>
        </w:rPr>
      </w:pPr>
      <w:r>
        <w:rPr>
          <w:rFonts w:eastAsia="Times New Roman" w:cs="Times New Roman" w:ascii="Times New Roman" w:hAnsi="Times New Roman"/>
          <w:color w:val="auto"/>
          <w:sz w:val="24"/>
          <w:szCs w:val="24"/>
          <w:u w:val="single"/>
          <w:lang w:eastAsia="ar-SA"/>
        </w:rPr>
        <w:t>Существующее положение</w:t>
      </w:r>
    </w:p>
    <w:p>
      <w:pPr>
        <w:pStyle w:val="ListParagraph"/>
        <w:suppressAutoHyphens w:val="true"/>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Теплоснабжение застройки – от котельной УЖКХ – 8,127 Гкал/ч, газовой котельной №2 – 1,737 Гкал/ч, котельной ФГУ «Борец» – 2,75 Гкал/ч, индивидуальных отопительных аппаратов и печное.  </w:t>
      </w:r>
    </w:p>
    <w:p>
      <w:pPr>
        <w:pStyle w:val="Normal"/>
        <w:spacing w:before="0" w:after="5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Проектное решение</w:t>
      </w:r>
    </w:p>
    <w:p>
      <w:pPr>
        <w:pStyle w:val="Normal"/>
        <w:ind w:firstLine="704"/>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Теплоснабжение перспективной  застройки  (увеличение теплопотребления на 11,42 Гкал/ч (13,3 МВт) будет предусматриваться от существующих источников, имеющих резерв мощности, малоэтажная застройка – от индивидуальных отопительных аппаратов; общественные здания – от существующей реконструируемой котельной с заменой старых котлов на новые.</w:t>
      </w:r>
    </w:p>
    <w:p>
      <w:pPr>
        <w:pStyle w:val="ListParagraph"/>
        <w:numPr>
          <w:ilvl w:val="2"/>
          <w:numId w:val="3"/>
        </w:numPr>
        <w:suppressAutoHyphens w:val="tru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Газоснабжение</w:t>
      </w:r>
    </w:p>
    <w:p>
      <w:pPr>
        <w:pStyle w:val="Normal"/>
        <w:tabs>
          <w:tab w:val="clear" w:pos="708"/>
          <w:tab w:val="left" w:pos="1425" w:leader="none"/>
        </w:tabs>
        <w:spacing w:before="0" w:after="5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Существующее положение</w:t>
      </w:r>
    </w:p>
    <w:p>
      <w:pPr>
        <w:pStyle w:val="Normal"/>
        <w:tabs>
          <w:tab w:val="clear" w:pos="708"/>
          <w:tab w:val="left" w:pos="1413" w:leader="none"/>
        </w:tabs>
        <w:ind w:left="-12" w:firstLine="704"/>
        <w:rPr>
          <w:rFonts w:ascii="Times New Roman" w:hAnsi="Times New Roman" w:eastAsia="Times New Roman" w:cs="Times New Roman"/>
          <w:sz w:val="24"/>
          <w:szCs w:val="24"/>
        </w:rPr>
      </w:pPr>
      <w:r>
        <w:rPr>
          <w:rFonts w:eastAsia="Times New Roman" w:cs="Times New Roman" w:ascii="Times New Roman" w:hAnsi="Times New Roman"/>
          <w:sz w:val="24"/>
          <w:szCs w:val="24"/>
        </w:rPr>
        <w:t>В настоящее время газифицированы, в основном, центральные части городов Аша, Сим, Миньяр и р. пос. Кропачево от ГРС г.Усть-Катав. Газ используется в качестве топлива для котельных, для нужд пищеприготовления в жилых домах и на производственные и технологические нужды промпредприятий.</w:t>
      </w:r>
    </w:p>
    <w:p>
      <w:pPr>
        <w:pStyle w:val="Normal"/>
        <w:tabs>
          <w:tab w:val="clear" w:pos="708"/>
          <w:tab w:val="left" w:pos="1413" w:leader="none"/>
        </w:tabs>
        <w:ind w:left="-12" w:firstLine="704"/>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Потребителями централизованного тепла являются:</w:t>
      </w:r>
    </w:p>
    <w:p>
      <w:pPr>
        <w:pStyle w:val="Normal"/>
        <w:numPr>
          <w:ilvl w:val="0"/>
          <w:numId w:val="4"/>
        </w:numPr>
        <w:tabs>
          <w:tab w:val="clear" w:pos="708"/>
          <w:tab w:val="left" w:pos="720" w:leader="none"/>
        </w:tabs>
        <w:suppressAutoHyphens w:val="true"/>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многоэтажная жилая застройка</w:t>
      </w:r>
    </w:p>
    <w:p>
      <w:pPr>
        <w:pStyle w:val="Normal"/>
        <w:numPr>
          <w:ilvl w:val="0"/>
          <w:numId w:val="4"/>
        </w:numPr>
        <w:tabs>
          <w:tab w:val="clear" w:pos="708"/>
          <w:tab w:val="left" w:pos="720" w:leader="none"/>
        </w:tabs>
        <w:suppressAutoHyphens w:val="true"/>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малоэтажная застройка поселков;</w:t>
      </w:r>
    </w:p>
    <w:p>
      <w:pPr>
        <w:pStyle w:val="Normal"/>
        <w:numPr>
          <w:ilvl w:val="0"/>
          <w:numId w:val="4"/>
        </w:numPr>
        <w:tabs>
          <w:tab w:val="clear" w:pos="708"/>
          <w:tab w:val="left" w:pos="720" w:leader="none"/>
        </w:tabs>
        <w:suppressAutoHyphens w:val="true"/>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соцкультбыт.</w:t>
      </w:r>
    </w:p>
    <w:p>
      <w:pPr>
        <w:pStyle w:val="ListParagraph"/>
        <w:suppressAutoHyphens w:val="true"/>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Расчетный максимальный часовой расход газа на исходный год по имеющимся данным по жилому фонду и соцкультбыту составляет 42778,46 нм3/час (без учета промпредприятий), из них:</w:t>
      </w:r>
    </w:p>
    <w:p>
      <w:pPr>
        <w:pStyle w:val="Normal"/>
        <w:numPr>
          <w:ilvl w:val="0"/>
          <w:numId w:val="5"/>
        </w:numPr>
        <w:tabs>
          <w:tab w:val="clear" w:pos="708"/>
          <w:tab w:val="left" w:pos="720" w:leader="none"/>
        </w:tabs>
        <w:suppressAutoHyphens w:val="true"/>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Кропачевское городское поселение – 4988,4 нм3/час;</w:t>
      </w:r>
    </w:p>
    <w:p>
      <w:pPr>
        <w:pStyle w:val="ListParagraph"/>
        <w:spacing w:before="0" w:after="57"/>
        <w:ind w:left="36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spacing w:before="0" w:after="57"/>
        <w:ind w:left="36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Проектные решения</w:t>
      </w:r>
    </w:p>
    <w:p>
      <w:pPr>
        <w:pStyle w:val="Normal"/>
        <w:spacing w:before="57" w:after="160"/>
        <w:ind w:firstLine="704"/>
        <w:rPr>
          <w:rFonts w:ascii="Times New Roman" w:hAnsi="Times New Roman" w:eastAsia="Times New Roman" w:cs="Times New Roman"/>
          <w:sz w:val="24"/>
          <w:szCs w:val="24"/>
        </w:rPr>
      </w:pPr>
      <w:r>
        <w:rPr>
          <w:rFonts w:eastAsia="Times New Roman" w:cs="Times New Roman" w:ascii="Times New Roman" w:hAnsi="Times New Roman"/>
          <w:sz w:val="24"/>
          <w:szCs w:val="24"/>
        </w:rPr>
        <w:t>Для газоснабжения поселения необходимо предусмотреть  дальнейшее развитие сетей высокого давления (источник – ГРС г. Усть-Катав) со строительством дополнительных газорегуляторных пунктов.</w:t>
      </w:r>
    </w:p>
    <w:p>
      <w:pPr>
        <w:pStyle w:val="Normal"/>
        <w:ind w:firstLine="704"/>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Отопление и горячее водоснабжение новых жилых домов малоэтажной застройки предусматривается от индивидуальных отопительных газовых аппаратов. Пищеприготовление – на бытовых газовых плитах. </w:t>
      </w:r>
    </w:p>
    <w:p>
      <w:pPr>
        <w:pStyle w:val="Normal"/>
        <w:ind w:firstLine="704"/>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Расчетные максимальные часовые расходы газа на расчетный срок по имеющимся данным по жилому фонду и соцкультбыту (без учета промпредприятий) приведены в таблице:</w:t>
      </w:r>
    </w:p>
    <w:tbl>
      <w:tblPr>
        <w:tblW w:w="9635" w:type="dxa"/>
        <w:jc w:val="left"/>
        <w:tblInd w:w="110" w:type="dxa"/>
        <w:tblLayout w:type="fixed"/>
        <w:tblCellMar>
          <w:top w:w="0" w:type="dxa"/>
          <w:left w:w="108" w:type="dxa"/>
          <w:bottom w:w="0" w:type="dxa"/>
          <w:right w:w="108" w:type="dxa"/>
        </w:tblCellMar>
        <w:tblLook w:firstRow="0" w:noVBand="0" w:lastRow="0" w:firstColumn="0" w:lastColumn="0" w:noHBand="0" w:val="0000"/>
      </w:tblPr>
      <w:tblGrid>
        <w:gridCol w:w="633"/>
        <w:gridCol w:w="3300"/>
        <w:gridCol w:w="2515"/>
        <w:gridCol w:w="3186"/>
      </w:tblGrid>
      <w:tr>
        <w:trPr>
          <w:trHeight w:val="286" w:hRule="exact"/>
          <w:cantSplit w:val="true"/>
        </w:trPr>
        <w:tc>
          <w:tcPr>
            <w:tcW w:w="633" w:type="dxa"/>
            <w:vMerge w:val="restart"/>
            <w:tcBorders>
              <w:top w:val="single" w:sz="4" w:space="0" w:color="000000"/>
              <w:left w:val="single" w:sz="4" w:space="0" w:color="000000"/>
              <w:bottom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 </w:t>
            </w:r>
            <w:r>
              <w:rPr>
                <w:rFonts w:eastAsia="Times New Roman" w:cs="Times New Roman" w:ascii="Times New Roman" w:hAnsi="Times New Roman"/>
                <w:color w:val="auto"/>
                <w:sz w:val="24"/>
                <w:szCs w:val="24"/>
                <w:lang w:eastAsia="ar-SA"/>
              </w:rPr>
              <w:t>п/п</w:t>
            </w:r>
          </w:p>
        </w:tc>
        <w:tc>
          <w:tcPr>
            <w:tcW w:w="3300" w:type="dxa"/>
            <w:vMerge w:val="restart"/>
            <w:tcBorders>
              <w:top w:val="single" w:sz="4" w:space="0" w:color="000000"/>
              <w:left w:val="single" w:sz="4" w:space="0" w:color="000000"/>
              <w:bottom w:val="single" w:sz="4" w:space="0" w:color="000000"/>
            </w:tcBorders>
            <w:vAlign w:val="center"/>
          </w:tcPr>
          <w:p>
            <w:pPr>
              <w:pStyle w:val="Normal"/>
              <w:widowControl w:val="false"/>
              <w:suppressAutoHyphens w:val="true"/>
              <w:snapToGrid w:val="false"/>
              <w:spacing w:lineRule="auto" w:line="240" w:before="0" w:after="0"/>
              <w:ind w:left="-4" w:right="-4" w:hanging="23"/>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Название</w:t>
            </w:r>
          </w:p>
          <w:p>
            <w:pPr>
              <w:pStyle w:val="Normal"/>
              <w:widowControl w:val="false"/>
              <w:suppressAutoHyphens w:val="true"/>
              <w:snapToGrid w:val="false"/>
              <w:spacing w:lineRule="auto" w:line="240" w:before="0" w:after="0"/>
              <w:ind w:left="-4" w:right="-4" w:hanging="23"/>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поселения</w:t>
            </w:r>
          </w:p>
        </w:tc>
        <w:tc>
          <w:tcPr>
            <w:tcW w:w="57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ind w:left="-4" w:right="-4" w:hanging="23"/>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Расчетный расход газа, нм</w:t>
            </w:r>
            <w:r>
              <w:rPr>
                <w:rFonts w:eastAsia="Times New Roman" w:cs="Times New Roman" w:ascii="Times New Roman" w:hAnsi="Times New Roman"/>
                <w:color w:val="auto"/>
                <w:sz w:val="24"/>
                <w:szCs w:val="24"/>
                <w:vertAlign w:val="superscript"/>
                <w:lang w:eastAsia="ar-SA"/>
              </w:rPr>
              <w:t>3</w:t>
            </w:r>
            <w:r>
              <w:rPr>
                <w:rFonts w:eastAsia="Times New Roman" w:cs="Times New Roman" w:ascii="Times New Roman" w:hAnsi="Times New Roman"/>
                <w:color w:val="auto"/>
                <w:sz w:val="24"/>
                <w:szCs w:val="24"/>
                <w:lang w:eastAsia="ar-SA"/>
              </w:rPr>
              <w:t>/час</w:t>
            </w:r>
          </w:p>
        </w:tc>
      </w:tr>
      <w:tr>
        <w:trPr>
          <w:cantSplit w:val="true"/>
        </w:trPr>
        <w:tc>
          <w:tcPr>
            <w:tcW w:w="633" w:type="dxa"/>
            <w:vMerge w:val="continue"/>
            <w:tcBorders>
              <w:left w:val="single" w:sz="4" w:space="0" w:color="000000"/>
              <w:bottom w:val="single" w:sz="4" w:space="0" w:color="000000"/>
            </w:tcBorders>
            <w:vAlign w:val="center"/>
          </w:tcPr>
          <w:p>
            <w:pPr>
              <w:pStyle w:val="Normal"/>
              <w:widowControl w:val="false"/>
              <w:suppressAutoHyphens w:val="true"/>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r>
          </w:p>
        </w:tc>
        <w:tc>
          <w:tcPr>
            <w:tcW w:w="3300" w:type="dxa"/>
            <w:vMerge w:val="continue"/>
            <w:tcBorders>
              <w:left w:val="single" w:sz="4" w:space="0" w:color="000000"/>
              <w:bottom w:val="single" w:sz="4" w:space="0" w:color="000000"/>
            </w:tcBorders>
            <w:vAlign w:val="center"/>
          </w:tcPr>
          <w:p>
            <w:pPr>
              <w:pStyle w:val="Normal"/>
              <w:widowControl w:val="false"/>
              <w:suppressAutoHyphens w:val="true"/>
              <w:spacing w:lineRule="auto" w:line="240" w:before="0" w:after="0"/>
              <w:ind w:firstLine="688"/>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r>
          </w:p>
        </w:tc>
        <w:tc>
          <w:tcPr>
            <w:tcW w:w="2515" w:type="dxa"/>
            <w:tcBorders>
              <w:left w:val="single" w:sz="4" w:space="0" w:color="000000"/>
              <w:bottom w:val="single" w:sz="4" w:space="0" w:color="000000"/>
            </w:tcBorders>
            <w:vAlign w:val="center"/>
          </w:tcPr>
          <w:p>
            <w:pPr>
              <w:pStyle w:val="Normal"/>
              <w:widowControl w:val="false"/>
              <w:suppressAutoHyphens w:val="true"/>
              <w:snapToGrid w:val="false"/>
              <w:spacing w:lineRule="auto" w:line="240" w:before="0" w:after="0"/>
              <w:ind w:left="-4" w:right="-4" w:hanging="23"/>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Существующее положение</w:t>
            </w:r>
          </w:p>
        </w:tc>
        <w:tc>
          <w:tcPr>
            <w:tcW w:w="3186"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ind w:left="-4" w:right="-4" w:hanging="23"/>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Расчетный срок</w:t>
            </w:r>
          </w:p>
          <w:p>
            <w:pPr>
              <w:pStyle w:val="Normal"/>
              <w:widowControl w:val="false"/>
              <w:suppressAutoHyphens w:val="true"/>
              <w:snapToGrid w:val="false"/>
              <w:spacing w:lineRule="auto" w:line="240" w:before="0" w:after="0"/>
              <w:ind w:left="-4" w:right="-4" w:hanging="23"/>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(новое строительство)</w:t>
            </w:r>
          </w:p>
        </w:tc>
      </w:tr>
      <w:tr>
        <w:trPr>
          <w:trHeight w:val="390" w:hRule="atLeast"/>
        </w:trPr>
        <w:tc>
          <w:tcPr>
            <w:tcW w:w="633" w:type="dxa"/>
            <w:tcBorders>
              <w:left w:val="single" w:sz="4" w:space="0" w:color="000000"/>
              <w:bottom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1</w:t>
            </w:r>
          </w:p>
        </w:tc>
        <w:tc>
          <w:tcPr>
            <w:tcW w:w="3300" w:type="dxa"/>
            <w:tcBorders>
              <w:left w:val="single" w:sz="4" w:space="0" w:color="000000"/>
              <w:bottom w:val="single" w:sz="4" w:space="0" w:color="000000"/>
            </w:tcBorders>
            <w:vAlign w:val="center"/>
          </w:tcPr>
          <w:p>
            <w:pPr>
              <w:pStyle w:val="Normal"/>
              <w:widowControl w:val="false"/>
              <w:suppressAutoHyphens w:val="true"/>
              <w:snapToGrid w:val="false"/>
              <w:spacing w:lineRule="auto" w:line="240" w:before="0" w:after="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Кропачевское городское поселение</w:t>
            </w:r>
          </w:p>
        </w:tc>
        <w:tc>
          <w:tcPr>
            <w:tcW w:w="2515" w:type="dxa"/>
            <w:tcBorders>
              <w:left w:val="single" w:sz="4" w:space="0" w:color="000000"/>
              <w:bottom w:val="single" w:sz="4" w:space="0" w:color="000000"/>
            </w:tcBorders>
            <w:vAlign w:val="center"/>
          </w:tcPr>
          <w:p>
            <w:pPr>
              <w:pStyle w:val="Normal"/>
              <w:widowControl w:val="false"/>
              <w:suppressAutoHyphens w:val="true"/>
              <w:snapToGrid w:val="false"/>
              <w:spacing w:lineRule="auto" w:line="240" w:before="0" w:after="0"/>
              <w:ind w:left="-4" w:right="7" w:hanging="12"/>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4988,4</w:t>
            </w:r>
          </w:p>
        </w:tc>
        <w:tc>
          <w:tcPr>
            <w:tcW w:w="3186"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ind w:left="-4" w:right="-4" w:hanging="35"/>
              <w:jc w:val="center"/>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1586,0</w:t>
            </w:r>
          </w:p>
        </w:tc>
      </w:tr>
    </w:tbl>
    <w:p>
      <w:pPr>
        <w:pStyle w:val="Normal"/>
        <w:ind w:firstLine="70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Глава IV. Ресурсное обеспечение программы</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Общая потребность в финансовых ресурсах для реализации программных мероприятий оценивается в размере 51 742 тыс. руб.</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средства Федерального бюджета 30100,0 тыс. руб.</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средства областного бюджета – 21542,0 тыс. руб.</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средства местного бюджета – 100,0 тыс. руб.</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Глава V. Оценка эффективности реализации программы</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Реализация программы "Комплексное развитие систем коммунальной инфраструктуры Кропачевского городского поселения на 2021 - 2025 г." позволит улучшить качество обеспечения потребителей поселка Кропачево коммунальными услугами.</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поселка, увеличится КПД тепловых мощностей.</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Реализация мероприятий по модернизации и развитию системы теплоснабжения позволит:</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обеспечить достаточный уровень тепловой энергии с определенными характеристиками;</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обеспечить непрерывность подачи тепловой энергии;</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обеспечить соблюдение интересов существующих потребителей путем сокращения числа внеплановых отключений;</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обеспечить возможность подключения новых потребителей путем увеличения пропускной способности системы магистральных тепловых сетей;</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обеспечить доступность жилищно-коммунальных услуг за счет сокращения расходов сетевых компаний на ремонты сетей и основного оборудования;</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улучшить экологическое состояние поселка;</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сократить затраты на проведение ремонтных работ на тепловых сетях и т. д.</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Реализация программных мероприятий по развитию и модернизации системы водоснабжения и водоотведения поселка Кропачево позволит улучшить условия и уровень жизни жителей города.</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Реализация мероприятий по развитию и модернизации системы водоснабжения позволит:</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обеспечить централизованным водоснабжением всю территорию поселка;</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улучшить качественные показатели питьевой воды;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обеспечить бесперебойное водоснабжение поселка;</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сократить удельные расходы на энергию и другие эксплутационные расходы;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увеличить количество потребителей услуг, а также объем сбора средств за предоставленные услуги;</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повысить рентабельность деятельности предприятий, эксплуатирующих системы водоснабжения поселка Кропачево.</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Реализация мероприятий по развитию и модернизации системы водоотведения позволит:</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улучшить показатели очистки сточных вод;</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сократить удельные расходы на энергию и другие эксплутационные расходы;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увеличить количество потребителей услуг, а также объем сбора средств за предоставленные услуги;</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повысить рентабельность деятельности предприятий, эксплуатирующих системы водоотведения поселка Кропачево.</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Таким образом, реализация мероприятий по модернизации и развитию коммунальной инфраструктуры поселка Кропачево актуальна и необходима.</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Глава VI. КРИТЕРИИ ОЦЕНКИ ВЫПОЛНЕНИЯ ПРОГРАММЫ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b/>
          <w:bCs/>
          <w:sz w:val="24"/>
          <w:szCs w:val="24"/>
        </w:rPr>
        <w:t>6.1. Теплоснабжение</w:t>
      </w:r>
    </w:p>
    <w:p>
      <w:pPr>
        <w:pStyle w:val="Normal"/>
        <w:spacing w:lineRule="auto" w:line="240" w:before="180" w:after="120"/>
        <w:ind w:firstLine="708"/>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тепловых сетей котельных 2 МВт и 9 МВт позволит снизить процент износа сетей на 80% (Приложение 2).</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b/>
          <w:bCs/>
          <w:sz w:val="24"/>
          <w:szCs w:val="24"/>
        </w:rPr>
        <w:t>6.2. Водоснабжение</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Работы по инвентаризации, постановки на кадастровый учет и регистрации права собственности водопроводной сети. Замена ветхих сетей водопровода.</w:t>
      </w:r>
    </w:p>
    <w:p>
      <w:pPr>
        <w:pStyle w:val="Normal"/>
        <w:numPr>
          <w:ilvl w:val="0"/>
          <w:numId w:val="1"/>
        </w:numPr>
        <w:spacing w:lineRule="auto" w:line="240" w:before="180" w:after="120"/>
        <w:ind w:left="0" w:hanging="0"/>
        <w:rPr>
          <w:rFonts w:ascii="Times New Roman" w:hAnsi="Times New Roman" w:eastAsia="Times New Roman" w:cs="Times New Roman"/>
          <w:sz w:val="27"/>
          <w:szCs w:val="27"/>
        </w:rPr>
      </w:pPr>
      <w:r>
        <w:rPr>
          <w:rFonts w:eastAsia="Times New Roman" w:cs="Times New Roman" w:ascii="Times New Roman" w:hAnsi="Times New Roman"/>
          <w:b/>
          <w:bCs/>
          <w:sz w:val="24"/>
          <w:szCs w:val="24"/>
        </w:rPr>
        <w:t>6.3.Водоотведение</w:t>
      </w:r>
    </w:p>
    <w:p>
      <w:pPr>
        <w:pStyle w:val="Normal"/>
        <w:numPr>
          <w:ilvl w:val="0"/>
          <w:numId w:val="1"/>
        </w:numPr>
        <w:spacing w:lineRule="auto" w:line="240" w:before="180" w:after="120"/>
        <w:ind w:left="0" w:hanging="0"/>
        <w:rPr>
          <w:rFonts w:ascii="Times New Roman" w:hAnsi="Times New Roman" w:eastAsia="Times New Roman" w:cs="Times New Roman"/>
          <w:sz w:val="27"/>
          <w:szCs w:val="27"/>
        </w:rPr>
      </w:pPr>
      <w:r>
        <w:rPr>
          <w:rFonts w:eastAsia="Times New Roman" w:cs="Times New Roman" w:ascii="Times New Roman" w:hAnsi="Times New Roman"/>
          <w:sz w:val="24"/>
          <w:szCs w:val="24"/>
        </w:rPr>
        <w:t>Комплекс работ по модернизации системы водоотведения в п. Кропачево:   замена существующей аэрационной системы на аэрацию на более совершенствованную,  позволит повысить эффективность работы биологической очистки стоков на 80% (Приложение 2).</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b/>
          <w:bCs/>
          <w:sz w:val="24"/>
          <w:szCs w:val="24"/>
        </w:rPr>
        <w:t>Глава VII. МЕХАНИЗМ РЕАЛИЗАЦИИ ПРОГРАММЫ</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Основные мероприятия, предусмотренные программой, могут уточняться или дополняться в зависимости от изменений в законодательстве, возможностей городского, областного бюджетов и бюджетов других уровней.</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Реализация мероприятий программы осуществляется путем заключения договоров с подрядными организациями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180" w:after="120"/>
        <w:ind w:firstLine="708"/>
        <w:rPr>
          <w:rFonts w:ascii="Times New Roman" w:hAnsi="Times New Roman" w:eastAsia="Times New Roman" w:cs="Times New Roman"/>
          <w:sz w:val="27"/>
          <w:szCs w:val="27"/>
        </w:rPr>
      </w:pPr>
      <w:r>
        <w:rPr>
          <w:rFonts w:eastAsia="Times New Roman" w:cs="Times New Roman" w:ascii="Times New Roman" w:hAnsi="Times New Roman"/>
          <w:sz w:val="24"/>
          <w:szCs w:val="24"/>
        </w:rPr>
        <w:t>В рамках реализации настоящей программы Кропачевское городское поселение осуществляет:</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мобилизацию финансовых и организационных ресурсов;</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финансирование мероприятий программы за счет средств бюджета Кропачевского городского поселения, исходя из объемов финансирования, предусмотренных на эти цели в местном бюджете, а также объемов софинансирования за счет средств федерального и областного бюджетов;</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проведение аукциона в электронной форме;</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4"/>
          <w:szCs w:val="24"/>
        </w:rPr>
        <w:t>- контроль за ходом реализации Программы.</w:t>
      </w:r>
    </w:p>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7"/>
          <w:szCs w:val="27"/>
        </w:rPr>
        <w:t> </w:t>
      </w:r>
    </w:p>
    <w:p>
      <w:pPr>
        <w:pStyle w:val="Normal"/>
        <w:spacing w:lineRule="auto" w:line="240" w:before="180" w:after="120"/>
        <w:ind w:left="8506"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8506"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8506"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8506"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8506"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8506"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8506"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360"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360"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360"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ind w:left="360" w:hanging="0"/>
        <w:jc w:val="right"/>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Приложение №1</w:t>
      </w:r>
    </w:p>
    <w:p>
      <w:pPr>
        <w:pStyle w:val="Normal"/>
        <w:spacing w:lineRule="auto" w:line="240" w:before="180" w:after="12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к муниципальной программе</w:t>
      </w:r>
    </w:p>
    <w:p>
      <w:pPr>
        <w:pStyle w:val="Normal"/>
        <w:spacing w:lineRule="auto" w:line="240" w:before="180" w:after="12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«Комплексное развитие систем</w:t>
      </w:r>
    </w:p>
    <w:p>
      <w:pPr>
        <w:pStyle w:val="Normal"/>
        <w:spacing w:lineRule="auto" w:line="240" w:before="180" w:after="12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коммунальной инфраструктуры</w:t>
      </w:r>
    </w:p>
    <w:p>
      <w:pPr>
        <w:pStyle w:val="Normal"/>
        <w:spacing w:lineRule="auto" w:line="240" w:before="180" w:after="12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Кропачевского городского поселения</w:t>
      </w:r>
    </w:p>
    <w:p>
      <w:pPr>
        <w:pStyle w:val="Normal"/>
        <w:spacing w:lineRule="auto" w:line="240" w:before="180" w:after="12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на 2021-2030 годы»</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sz w:val="24"/>
          <w:szCs w:val="24"/>
        </w:rPr>
        <w:t>Адресный перечень объектов</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sz w:val="24"/>
          <w:szCs w:val="24"/>
        </w:rPr>
        <w:t>строительства и модернизации сетей</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sz w:val="24"/>
          <w:szCs w:val="24"/>
        </w:rPr>
        <w:t>водоснабжения и водоотведения</w:t>
      </w:r>
    </w:p>
    <w:p>
      <w:pPr>
        <w:pStyle w:val="Normal"/>
        <w:spacing w:lineRule="auto" w:line="240" w:before="180" w:after="120"/>
        <w:jc w:val="center"/>
        <w:rPr>
          <w:rFonts w:ascii="Times New Roman" w:hAnsi="Times New Roman" w:eastAsia="Times New Roman" w:cs="Times New Roman"/>
          <w:sz w:val="27"/>
          <w:szCs w:val="27"/>
        </w:rPr>
      </w:pPr>
      <w:r>
        <w:rPr>
          <w:rFonts w:eastAsia="Times New Roman" w:cs="Times New Roman" w:ascii="Times New Roman" w:hAnsi="Times New Roman"/>
          <w:sz w:val="27"/>
          <w:szCs w:val="27"/>
        </w:rPr>
      </w:r>
    </w:p>
    <w:tbl>
      <w:tblPr>
        <w:tblW w:w="9699" w:type="dxa"/>
        <w:jc w:val="left"/>
        <w:tblInd w:w="0" w:type="dxa"/>
        <w:tblLayout w:type="fixed"/>
        <w:tblCellMar>
          <w:top w:w="0" w:type="dxa"/>
          <w:left w:w="22" w:type="dxa"/>
          <w:bottom w:w="0" w:type="dxa"/>
          <w:right w:w="22" w:type="dxa"/>
        </w:tblCellMar>
        <w:tblLook w:firstRow="1" w:noVBand="1" w:lastRow="0" w:firstColumn="1" w:lastColumn="0" w:noHBand="0" w:val="04a0"/>
      </w:tblPr>
      <w:tblGrid>
        <w:gridCol w:w="50"/>
        <w:gridCol w:w="543"/>
        <w:gridCol w:w="51"/>
        <w:gridCol w:w="1858"/>
        <w:gridCol w:w="312"/>
        <w:gridCol w:w="51"/>
        <w:gridCol w:w="1652"/>
        <w:gridCol w:w="314"/>
        <w:gridCol w:w="1472"/>
        <w:gridCol w:w="312"/>
        <w:gridCol w:w="51"/>
        <w:gridCol w:w="912"/>
        <w:gridCol w:w="314"/>
        <w:gridCol w:w="1493"/>
        <w:gridCol w:w="313"/>
      </w:tblGrid>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объекта</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Описание необходимых работ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проектно-сметной документации, заключение Госэкспертизы / Основание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Планируемый срок реализации</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Необходимая сумма финансирования</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(тыс. руб.)</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9385" w:type="dxa"/>
            <w:gridSpan w:val="14"/>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ТЕПЛОСНАБЖЕНИЕ</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497,25</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546,98</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601,67</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661,84</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728,02</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800,83</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880,91</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969,00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1065,90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1172,49</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сети котельных 2МВт и 9 МВт</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w:t>
            </w:r>
          </w:p>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разработке</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2075,11</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ind w:left="850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10000,0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9385" w:type="dxa"/>
            <w:gridSpan w:val="14"/>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Проектно-изыскательские работы по модернизации системы водоснабжения Кропачевского городского поселения</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4483,0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Обустройство объектов водоснабжения Кропачевского городского поселения</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Предписание Управления Федеральной службы в сфере защиты прав потребителей и благополучия человека по Челябинской области территориальный отдел в Ашинском и Катав-Ивановском районах</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Комплекс гидрогеологических и геодезических работ по восстановлению дебета скважин, определения фактического дебета и определение запасов воды по скважинам</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1140,0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Работы по реконструкции водопроводной сети: строительство резервуаров, насосной станции 2-го подъёма с частотно-регулируемым электроприводом насосов для согласования работы скважин с графиком водоразбора. Замена аварийных участков водопровода</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21015,0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от насосной до сооружений водопровода</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3080,0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от ул. Октябрьская до ул. Советская</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от ул. Советская от № 126 до № 188</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825,0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от ул. Советская 10 до ПГ №2</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ул. Ленина</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через ж/дорогу</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415,0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ул. Свердлова</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415,0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ул. Нефтяников до ул. Рокутова</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205,0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Водоснабжение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водопровода по ул. Молодежная</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1395,0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37 023,0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9385" w:type="dxa"/>
            <w:gridSpan w:val="14"/>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ВОДООТВЕДЕНИЕ</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Водоотведение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Проектно-изыскательские работы по модернизации очистных сооружений Кропачевского городского поселения</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290,0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Водоотведение</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Замена в аэротенах существующей малоэффективной аэрации на современную эффективную мелкопузырчатую аэрацию</w:t>
            </w:r>
          </w:p>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Переход на новую эффективную биозагрузку Устройство бактерицидной ультрафиолетовой ультразвуковой установки «Лазурь М 50-1». Замена воздуходувки ТВ-0-1,6 на более экономичную воздуходувку 32 ВФ 23/1,5 СМ2УЗ</w:t>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ТЭО от 25.10.2007 г.</w:t>
            </w:r>
          </w:p>
        </w:tc>
        <w:tc>
          <w:tcPr>
            <w:tcW w:w="1275"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rPr>
              <w:t>2021-2030</w:t>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4429,0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4719,0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9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0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по программным мероприятиям:</w:t>
            </w:r>
          </w:p>
        </w:tc>
        <w:tc>
          <w:tcPr>
            <w:tcW w:w="201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numPr>
                <w:ilvl w:val="0"/>
                <w:numId w:val="1"/>
              </w:numPr>
              <w:spacing w:lineRule="atLeast" w:line="270" w:before="180" w:after="12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tLeast" w:line="27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51 742,0</w:t>
            </w:r>
          </w:p>
        </w:tc>
        <w:tc>
          <w:tcPr>
            <w:tcW w:w="313" w:type="dxa"/>
            <w:tcBorders/>
          </w:tcPr>
          <w:p>
            <w:pPr>
              <w:pStyle w:val="Normal"/>
              <w:widowControl w:val="false"/>
              <w:spacing w:before="0" w:after="160"/>
              <w:rPr>
                <w:rFonts w:ascii="Times New Roman" w:hAnsi="Times New Roman" w:cs="Times New Roman"/>
                <w:sz w:val="24"/>
                <w:szCs w:val="24"/>
              </w:rPr>
            </w:pPr>
            <w:r>
              <w:rPr/>
            </w:r>
          </w:p>
        </w:tc>
      </w:tr>
      <w:tr>
        <w:trPr/>
        <w:tc>
          <w:tcPr>
            <w:tcW w:w="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54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5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2170"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5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196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1784"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5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122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c>
          <w:tcPr>
            <w:tcW w:w="180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270" w:before="0" w:after="0"/>
              <w:jc w:val="both"/>
              <w:rPr>
                <w:rFonts w:ascii="Arial" w:hAnsi="Arial" w:eastAsia="Times New Roman" w:cs="Arial"/>
                <w:sz w:val="1"/>
                <w:szCs w:val="18"/>
              </w:rPr>
            </w:pPr>
            <w:r>
              <w:rPr>
                <w:rFonts w:eastAsia="Times New Roman" w:cs="Arial" w:ascii="Arial" w:hAnsi="Arial"/>
                <w:sz w:val="1"/>
                <w:szCs w:val="18"/>
              </w:rPr>
            </w:r>
          </w:p>
        </w:tc>
      </w:tr>
    </w:tbl>
    <w:p>
      <w:pPr>
        <w:pStyle w:val="Normal"/>
        <w:spacing w:before="0" w:after="0"/>
        <w:ind w:left="708"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160"/>
        <w:rPr>
          <w:rFonts w:ascii="Times New Roman" w:hAnsi="Times New Roman" w:cs="Times New Roman"/>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8866"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0"/>
        </w:tabs>
        <w:ind w:left="720" w:hanging="360"/>
      </w:pPr>
      <w:rPr/>
    </w:lvl>
    <w:lvl w:ilvl="1">
      <w:start w:val="2"/>
      <w:numFmt w:val="decimal"/>
      <w:lvlText w:val="%1.%2."/>
      <w:lvlJc w:val="left"/>
      <w:pPr>
        <w:tabs>
          <w:tab w:val="num" w:pos="0"/>
        </w:tabs>
        <w:ind w:left="1080" w:hanging="720"/>
      </w:pPr>
      <w:rPr/>
    </w:lvl>
    <w:lvl w:ilvl="2">
      <w:start w:val="2"/>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4">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5">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418f"/>
    <w:pPr>
      <w:widowControl/>
      <w:bidi w:val="0"/>
      <w:spacing w:lineRule="auto" w:line="259" w:before="0" w:after="160"/>
      <w:jc w:val="left"/>
    </w:pPr>
    <w:rPr>
      <w:rFonts w:ascii="Calibri" w:hAnsi="Calibri" w:eastAsia="Calibri" w:cs="Calibri"/>
      <w:color w:val="000000"/>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Список Знак"/>
    <w:uiPriority w:val="99"/>
    <w:qFormat/>
    <w:rsid w:val="00671887"/>
    <w:rPr>
      <w:rFonts w:ascii="Times New Roman" w:hAnsi="Times New Roman" w:eastAsia="Calibri" w:cs="Times New Roman"/>
      <w:sz w:val="24"/>
      <w:szCs w:val="24"/>
      <w:lang w:val="x-none" w:eastAsia="x-none"/>
    </w:rPr>
  </w:style>
  <w:style w:type="character" w:styleId="Style15" w:customStyle="1">
    <w:name w:val="Буквица"/>
    <w:qFormat/>
    <w:rsid w:val="00c76678"/>
    <w:rPr>
      <w:lang w:val="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Normal"/>
    <w:link w:val="Style14"/>
    <w:uiPriority w:val="99"/>
    <w:rsid w:val="00671887"/>
    <w:pPr>
      <w:numPr>
        <w:ilvl w:val="0"/>
        <w:numId w:val="1"/>
      </w:numPr>
      <w:tabs>
        <w:tab w:val="clear" w:pos="708"/>
        <w:tab w:val="left" w:pos="851" w:leader="none"/>
      </w:tabs>
      <w:spacing w:lineRule="auto" w:line="240" w:before="0" w:after="0"/>
      <w:ind w:left="720" w:hanging="0"/>
      <w:jc w:val="both"/>
    </w:pPr>
    <w:rPr>
      <w:rFonts w:ascii="Times New Roman" w:hAnsi="Times New Roman" w:cs="Times New Roman"/>
      <w:color w:val="auto"/>
      <w:sz w:val="24"/>
      <w:szCs w:val="24"/>
      <w:lang w:val="x-none" w:eastAsia="x-none"/>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a133a4"/>
    <w:pPr>
      <w:spacing w:before="0" w:after="160"/>
      <w:ind w:left="720" w:hanging="0"/>
      <w:contextualSpacing/>
    </w:pPr>
    <w:rPr/>
  </w:style>
  <w:style w:type="numbering" w:styleId="NoList" w:default="1">
    <w:name w:val="No List"/>
    <w:uiPriority w:val="99"/>
    <w:semiHidden/>
    <w:unhideWhenUsed/>
    <w:qFormat/>
  </w:style>
  <w:style w:type="numbering" w:styleId="14" w:customStyle="1">
    <w:name w:val="Стиль14"/>
    <w:uiPriority w:val="99"/>
    <w:qFormat/>
    <w:rsid w:val="00671887"/>
  </w:style>
  <w:style w:type="numbering" w:styleId="141" w:customStyle="1">
    <w:name w:val="Стиль141"/>
    <w:uiPriority w:val="99"/>
    <w:qFormat/>
    <w:rsid w:val="0017418f"/>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30.01.2014)%7B&#1050;&#1086;&#1085;&#1089;&#1091;&#1083;&#1100;&#1090;&#1072;&#1085;&#1090;&#1055;&#1083;&#1102;&#1089;%7D"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C651-69A2-4781-9AB2-D02DF059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Application>LibreOffice/7.3.0.3$Windows_X86_64 LibreOffice_project/0f246aa12d0eee4a0f7adcefbf7c878fc2238db3</Application>
  <AppVersion>15.0000</AppVersion>
  <Pages>15</Pages>
  <Words>2858</Words>
  <Characters>21192</Characters>
  <CharactersWithSpaces>23824</CharactersWithSpaces>
  <Paragraphs>414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2020-12-23T12:15:00Z</dcterms:created>
  <dc:creator>Пользователь Windows</dc:creator>
  <dc:description/>
  <dc:language>ru-RU</dc:language>
  <cp:lastModifiedBy>Пользователь Windows</cp:lastModifiedBy>
  <dcterms:modified xsi:type="dcterms:W3CDTF">2022-03-11T05:57:00Z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