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КРОПАЧЕВСКОГО ГОРОДСКОГО ПОСЕЛЕНИЯ</w:t>
        <w:br/>
        <w:t>АШИНСКОГО МУНИЦИПАЛЬНОГО РАЙОНА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</w:t>
      </w:r>
    </w:p>
    <w:p>
      <w:pPr>
        <w:pStyle w:val="ConsPlusTitle"/>
        <w:widowControl/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от «29» мая 2023 г. №26</w:t>
      </w:r>
    </w:p>
    <w:p>
      <w:pPr>
        <w:pStyle w:val="Normal"/>
        <w:spacing w:lineRule="auto" w:line="276"/>
        <w:jc w:val="right"/>
        <w:rPr>
          <w:rFonts w:ascii="Times New Roman" w:hAnsi="Times New Roman"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ru-RU" w:bidi="ar-SA"/>
        </w:rPr>
        <mc:AlternateContent>
          <mc:Choice Requires="wps">
            <w:drawing>
              <wp:anchor behindDoc="0" distT="0" distB="8890" distL="0" distR="0" simplePos="0" locked="0" layoutInCell="0" allowOverlap="1" relativeHeight="2" wp14:anchorId="230BD17D">
                <wp:simplePos x="0" y="0"/>
                <wp:positionH relativeFrom="column">
                  <wp:posOffset>-80010</wp:posOffset>
                </wp:positionH>
                <wp:positionV relativeFrom="paragraph">
                  <wp:posOffset>134620</wp:posOffset>
                </wp:positionV>
                <wp:extent cx="2609850" cy="1266825"/>
                <wp:effectExtent l="0" t="0" r="0" b="9525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0" cy="126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Об утверждении Программы комплексного развития систем </w:t>
                            </w:r>
                            <w:r>
                              <w:rPr>
                                <w:rStyle w:val="Style13"/>
                                <w:rFonts w:cs="Times New Roman" w:ascii="Times New Roman" w:hAnsi="Times New Roman"/>
                                <w:b w:val="false"/>
                                <w:color w:val="000000"/>
                              </w:rPr>
                              <w:t>социальной инфраструктуры Кропачевского городского поселения на 2023-2033 годы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path="m0,0l-2147483645,0l-2147483645,-2147483646l0,-2147483646xe" fillcolor="white" stroked="f" o:allowincell="f" style="position:absolute;margin-left:-6.3pt;margin-top:10.6pt;width:205.45pt;height:99.7pt;mso-wrap-style:square;v-text-anchor:middle" wp14:anchorId="230BD17D">
                <v:fill o:detectmouseclick="t" type="solid" color2="black"/>
                <v:stroke color="#3465a4" weight="12600" joinstyle="miter" endcap="flat"/>
                <v:textbox>
                  <w:txbxContent>
                    <w:p>
                      <w:pPr>
                        <w:pStyle w:val="Style23"/>
                        <w:jc w:val="both"/>
                        <w:rPr/>
                      </w:pPr>
                      <w:r>
                        <w:rPr>
                          <w:color w:val="000000"/>
                        </w:rPr>
                        <w:t xml:space="preserve">Об утверждении Программы комплексного развития систем </w:t>
                      </w:r>
                      <w:r>
                        <w:rPr>
                          <w:rStyle w:val="Style13"/>
                          <w:rFonts w:cs="Times New Roman" w:ascii="Times New Roman" w:hAnsi="Times New Roman"/>
                          <w:b w:val="false"/>
                          <w:color w:val="000000"/>
                        </w:rPr>
                        <w:t>социальной инфраструктуры Кропачевского городского поселения на 2023-2033 годы</w:t>
                      </w:r>
                    </w:p>
                    <w:p>
                      <w:pPr>
                        <w:pStyle w:val="Style23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jc w:val="right"/>
        <w:rPr>
          <w:rStyle w:val="Style13"/>
          <w:rFonts w:ascii="Times New Roman" w:hAnsi="Times New Roman" w:cs="Times New Roman"/>
          <w:b w:val="false"/>
          <w:color w:val="000000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ru-RU" w:bidi="ar-SA"/>
        </w:rPr>
        <w:t xml:space="preserve">                                                  </w:t>
      </w:r>
    </w:p>
    <w:p>
      <w:pPr>
        <w:pStyle w:val="Style16"/>
        <w:spacing w:before="180" w:after="120"/>
        <w:jc w:val="both"/>
        <w:rPr>
          <w:rStyle w:val="Style13"/>
          <w:rFonts w:ascii="Times New Roman" w:hAnsi="Times New Roman" w:cs="Times New Roman"/>
          <w:b w:val="false"/>
          <w:color w:val="000000"/>
        </w:rPr>
      </w:pPr>
      <w:r>
        <w:rPr>
          <w:rFonts w:cs="Times New Roman" w:ascii="Times New Roman" w:hAnsi="Times New Roman"/>
          <w:b w:val="false"/>
          <w:color w:val="000000"/>
        </w:rPr>
      </w:r>
    </w:p>
    <w:p>
      <w:pPr>
        <w:pStyle w:val="Style16"/>
        <w:spacing w:before="180" w:after="120"/>
        <w:jc w:val="both"/>
        <w:rPr>
          <w:rStyle w:val="Style13"/>
          <w:rFonts w:ascii="Times New Roman" w:hAnsi="Times New Roman" w:cs="Times New Roman"/>
          <w:b w:val="false"/>
          <w:color w:val="000000"/>
        </w:rPr>
      </w:pPr>
      <w:r>
        <w:rPr>
          <w:rFonts w:cs="Times New Roman" w:ascii="Times New Roman" w:hAnsi="Times New Roman"/>
          <w:b w:val="false"/>
          <w:color w:val="000000"/>
        </w:rPr>
      </w:r>
    </w:p>
    <w:p>
      <w:pPr>
        <w:pStyle w:val="Style16"/>
        <w:spacing w:before="180" w:after="120"/>
        <w:jc w:val="both"/>
        <w:rPr>
          <w:rStyle w:val="Style13"/>
          <w:rFonts w:ascii="Times New Roman" w:hAnsi="Times New Roman" w:cs="Times New Roman"/>
          <w:b w:val="false"/>
          <w:color w:val="000000"/>
        </w:rPr>
      </w:pPr>
      <w:r>
        <w:rPr>
          <w:rFonts w:cs="Times New Roman" w:ascii="Times New Roman" w:hAnsi="Times New Roman"/>
          <w:b w:val="false"/>
          <w:color w:val="000000"/>
        </w:rPr>
      </w:r>
    </w:p>
    <w:p>
      <w:pPr>
        <w:pStyle w:val="Style16"/>
        <w:spacing w:before="180" w:after="120"/>
        <w:jc w:val="both"/>
        <w:rPr>
          <w:rStyle w:val="Style13"/>
          <w:rFonts w:ascii="Times New Roman" w:hAnsi="Times New Roman" w:cs="Times New Roman"/>
          <w:b w:val="false"/>
          <w:color w:val="000000"/>
        </w:rPr>
      </w:pPr>
      <w:r>
        <w:rPr>
          <w:rStyle w:val="Style13"/>
          <w:rFonts w:cs="Times New Roman" w:ascii="Times New Roman" w:hAnsi="Times New Roman"/>
          <w:b w:val="false"/>
          <w:color w:val="000000"/>
        </w:rPr>
        <w:tab/>
        <w:t xml:space="preserve">В соответствии с Градостроительным кодексом Российской Федерации, Постановлением Правительства РФ от 01.10.2015 №1050 "Об утверждении требований к программам комплексного развития социальной инфраструктуры поселений, городских округов", Федеральным законом от 06.10.2003 №131-ФЗ «Об общих принципах организации местного самоуправления в Российской Федерации», генеральным планом рп. Кропачево, утвержденным Решением Совета депутатов Кропачевского городского поселения от 18.01.2023 №3, Уставом Кропачевского городского поселения, </w:t>
      </w:r>
    </w:p>
    <w:p>
      <w:pPr>
        <w:pStyle w:val="Style16"/>
        <w:spacing w:before="180" w:after="120"/>
        <w:jc w:val="center"/>
        <w:rPr>
          <w:rStyle w:val="Style13"/>
          <w:rFonts w:ascii="Times New Roman" w:hAnsi="Times New Roman" w:cs="Times New Roman"/>
          <w:b w:val="false"/>
          <w:color w:val="000000"/>
        </w:rPr>
      </w:pPr>
      <w:r>
        <w:rPr>
          <w:rStyle w:val="Style13"/>
          <w:rFonts w:cs="Times New Roman" w:ascii="Times New Roman" w:hAnsi="Times New Roman"/>
          <w:b w:val="false"/>
          <w:color w:val="000000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76"/>
        <w:ind w:left="0" w:firstLine="709"/>
        <w:jc w:val="both"/>
        <w:rPr>
          <w:rStyle w:val="Style13"/>
          <w:rFonts w:ascii="Times New Roman" w:hAnsi="Times New Roman" w:cs="Times New Roman"/>
          <w:b w:val="false"/>
          <w:color w:val="000000"/>
          <w:szCs w:val="24"/>
        </w:rPr>
      </w:pPr>
      <w:r>
        <w:rPr>
          <w:rStyle w:val="Style13"/>
          <w:rFonts w:cs="Times New Roman" w:ascii="Times New Roman" w:hAnsi="Times New Roman"/>
          <w:b w:val="false"/>
          <w:color w:val="000000"/>
          <w:szCs w:val="24"/>
        </w:rPr>
        <w:t>Утвердить Программы комплексного развития систем социальной инфраструктуры Кропачевского городского поселения на 2023-2033 годы (Приложение 1).</w:t>
      </w:r>
    </w:p>
    <w:p>
      <w:pPr>
        <w:pStyle w:val="ListParagraph"/>
        <w:numPr>
          <w:ilvl w:val="0"/>
          <w:numId w:val="1"/>
        </w:numPr>
        <w:spacing w:lineRule="auto" w:line="276"/>
        <w:ind w:left="0" w:firstLine="360"/>
        <w:jc w:val="both"/>
        <w:rPr>
          <w:rStyle w:val="Style13"/>
          <w:rFonts w:ascii="Times New Roman" w:hAnsi="Times New Roman" w:cs="Times New Roman"/>
          <w:b w:val="false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Cs w:val="24"/>
          <w:lang w:eastAsia="ru-RU" w:bidi="ar-SA"/>
        </w:rPr>
        <w:t>Постановление администрации Кропачевского городского поселения от 11.03.2022 №19 «Об утверждении Программы комплексного развития систем социальной инфраструктуры Кропачевского городского поселения на 2016-2026 годы» - отменить.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160"/>
        <w:ind w:left="0" w:right="-2" w:firstLine="709"/>
        <w:contextualSpacing/>
        <w:jc w:val="both"/>
        <w:rPr>
          <w:rStyle w:val="Style13"/>
          <w:rFonts w:ascii="Times New Roman" w:hAnsi="Times New Roman" w:cs="Times New Roman"/>
          <w:b w:val="false"/>
          <w:color w:val="000000"/>
        </w:rPr>
      </w:pPr>
      <w:r>
        <w:rPr>
          <w:rStyle w:val="Style13"/>
          <w:rFonts w:cs="Times New Roman" w:ascii="Times New Roman" w:hAnsi="Times New Roman"/>
          <w:b w:val="false"/>
          <w:color w:val="000000"/>
        </w:rPr>
        <w:t>Настоящее  постановление вступает в силу со дня принятия и подлежит официальному  опубликованию на официальном сайте  Кропачевского городского  поселения (www. kropachevo.ru, регистрация в качестве сетевого издания: ЭЛ №ФС77-73787 от 28.09.2018).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160"/>
        <w:ind w:left="0" w:right="-2" w:firstLine="709"/>
        <w:contextualSpacing/>
        <w:jc w:val="both"/>
        <w:rPr>
          <w:rStyle w:val="Style13"/>
          <w:rFonts w:ascii="Times New Roman" w:hAnsi="Times New Roman" w:cs="Times New Roman"/>
          <w:b w:val="false"/>
          <w:color w:val="000000"/>
        </w:rPr>
      </w:pPr>
      <w:r>
        <w:rPr>
          <w:rStyle w:val="Style13"/>
          <w:rFonts w:cs="Times New Roman" w:ascii="Times New Roman" w:hAnsi="Times New Roman"/>
          <w:b w:val="false"/>
          <w:color w:val="000000"/>
        </w:rPr>
        <w:t>Контроль  исполнения настоящего постановления оставляю за собой.</w:t>
      </w:r>
    </w:p>
    <w:p>
      <w:pPr>
        <w:pStyle w:val="Normal"/>
        <w:suppressAutoHyphens w:val="false"/>
        <w:spacing w:lineRule="auto" w:line="276"/>
        <w:ind w:left="708" w:hanging="0"/>
        <w:jc w:val="both"/>
        <w:rPr>
          <w:rStyle w:val="Style13"/>
          <w:rFonts w:ascii="Times New Roman" w:hAnsi="Times New Roman" w:cs="Times New Roman"/>
          <w:b w:val="false"/>
          <w:color w:val="000000"/>
        </w:rPr>
      </w:pPr>
      <w:r>
        <w:rPr>
          <w:rStyle w:val="Style13"/>
          <w:rFonts w:cs="Times New Roman" w:ascii="Times New Roman" w:hAnsi="Times New Roman"/>
          <w:b w:val="false"/>
          <w:color w:val="000000"/>
        </w:rPr>
        <w:t xml:space="preserve"> </w:t>
      </w:r>
    </w:p>
    <w:p>
      <w:pPr>
        <w:pStyle w:val="Normal"/>
        <w:suppressAutoHyphens w:val="false"/>
        <w:spacing w:lineRule="auto" w:line="276" w:before="0" w:after="22"/>
        <w:jc w:val="right"/>
        <w:rPr>
          <w:rStyle w:val="Style13"/>
          <w:rFonts w:ascii="Times New Roman" w:hAnsi="Times New Roman" w:cs="Times New Roman"/>
          <w:b w:val="false"/>
          <w:color w:val="000000"/>
        </w:rPr>
      </w:pPr>
      <w:r>
        <w:rPr>
          <w:rStyle w:val="Style13"/>
          <w:rFonts w:cs="Times New Roman" w:ascii="Times New Roman" w:hAnsi="Times New Roman"/>
          <w:b w:val="false"/>
          <w:color w:val="000000"/>
        </w:rPr>
        <w:t xml:space="preserve"> </w:t>
      </w:r>
    </w:p>
    <w:p>
      <w:pPr>
        <w:pStyle w:val="Normal"/>
        <w:tabs>
          <w:tab w:val="clear" w:pos="709"/>
          <w:tab w:val="right" w:pos="9356" w:leader="none"/>
        </w:tabs>
        <w:suppressAutoHyphens w:val="false"/>
        <w:spacing w:lineRule="auto" w:line="276"/>
        <w:ind w:left="-15" w:hanging="0"/>
        <w:rPr>
          <w:rStyle w:val="Style13"/>
          <w:rFonts w:ascii="Times New Roman" w:hAnsi="Times New Roman" w:cs="Times New Roman"/>
          <w:b w:val="false"/>
          <w:color w:val="000000"/>
        </w:rPr>
      </w:pPr>
      <w:r>
        <w:rPr>
          <w:rFonts w:cs="Times New Roman" w:ascii="Times New Roman" w:hAnsi="Times New Roman"/>
          <w:b w:val="false"/>
          <w:color w:val="000000"/>
        </w:rPr>
      </w:r>
    </w:p>
    <w:p>
      <w:pPr>
        <w:pStyle w:val="Normal"/>
        <w:tabs>
          <w:tab w:val="clear" w:pos="709"/>
          <w:tab w:val="right" w:pos="9356" w:leader="none"/>
        </w:tabs>
        <w:suppressAutoHyphens w:val="false"/>
        <w:spacing w:lineRule="auto" w:line="276"/>
        <w:ind w:left="-15" w:hanging="0"/>
        <w:rPr>
          <w:rStyle w:val="Style13"/>
        </w:rPr>
      </w:pPr>
      <w:r>
        <w:rPr>
          <w:rStyle w:val="Style13"/>
          <w:rFonts w:cs="Times New Roman" w:ascii="Times New Roman" w:hAnsi="Times New Roman"/>
          <w:b w:val="false"/>
          <w:color w:val="000000"/>
        </w:rPr>
        <w:t>Глава Кропачевского городского поселения</w:t>
        <w:tab/>
        <w:t xml:space="preserve">    У.Р. Зайнетдинов</w:t>
      </w:r>
    </w:p>
    <w:p>
      <w:pPr>
        <w:pStyle w:val="Style16"/>
        <w:spacing w:before="180" w:after="12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yle16"/>
        <w:spacing w:before="180" w:after="120"/>
        <w:jc w:val="both"/>
        <w:rPr>
          <w:rStyle w:val="Style13"/>
          <w:rFonts w:ascii="Times New Roman" w:hAnsi="Times New Roman" w:cs="Times New Roman"/>
          <w:b w:val="false"/>
          <w:color w:val="000000"/>
        </w:rPr>
      </w:pPr>
      <w:r>
        <w:rPr>
          <w:rFonts w:cs="Times New Roman" w:ascii="Times New Roman" w:hAnsi="Times New Roman"/>
          <w:b w:val="false"/>
          <w:color w:val="000000"/>
        </w:rPr>
      </w:r>
    </w:p>
    <w:p>
      <w:pPr>
        <w:pStyle w:val="Style16"/>
        <w:spacing w:before="180" w:after="120"/>
        <w:jc w:val="both"/>
        <w:rPr>
          <w:rStyle w:val="Style13"/>
          <w:rFonts w:ascii="Times New Roman" w:hAnsi="Times New Roman" w:cs="Times New Roman"/>
          <w:b w:val="false"/>
          <w:color w:val="000000"/>
        </w:rPr>
      </w:pPr>
      <w:r>
        <w:rPr>
          <w:rFonts w:cs="Times New Roman" w:ascii="Times New Roman" w:hAnsi="Times New Roman"/>
          <w:b w:val="false"/>
          <w:color w:val="000000"/>
        </w:rPr>
      </w:r>
    </w:p>
    <w:p>
      <w:pPr>
        <w:pStyle w:val="Style16"/>
        <w:spacing w:before="180" w:after="120"/>
        <w:jc w:val="both"/>
        <w:rPr>
          <w:rStyle w:val="Style13"/>
          <w:rFonts w:ascii="Times New Roman" w:hAnsi="Times New Roman" w:cs="Times New Roman"/>
          <w:b w:val="false"/>
          <w:color w:val="000000"/>
        </w:rPr>
      </w:pPr>
      <w:r>
        <w:rPr>
          <w:rFonts w:cs="Times New Roman" w:ascii="Times New Roman" w:hAnsi="Times New Roman"/>
          <w:b w:val="false"/>
          <w:color w:val="000000"/>
        </w:rPr>
      </w:r>
    </w:p>
    <w:p>
      <w:pPr>
        <w:pStyle w:val="Style16"/>
        <w:spacing w:before="0" w:after="0"/>
        <w:jc w:val="right"/>
        <w:rPr>
          <w:rFonts w:eastAsia="BatangChe"/>
          <w:bCs/>
          <w:kern w:val="0"/>
          <w:sz w:val="26"/>
          <w:szCs w:val="26"/>
          <w:lang w:eastAsia="ru-RU" w:bidi="ar-SA"/>
        </w:rPr>
      </w:pPr>
      <w:r>
        <w:rPr>
          <w:rFonts w:eastAsia="BatangChe"/>
          <w:bCs/>
          <w:kern w:val="0"/>
          <w:sz w:val="26"/>
          <w:szCs w:val="26"/>
          <w:lang w:eastAsia="ru-RU" w:bidi="ar-SA"/>
        </w:rPr>
      </w:r>
      <w:bookmarkStart w:id="0" w:name="_GoBack"/>
      <w:bookmarkStart w:id="1" w:name="_GoBack"/>
      <w:bookmarkEnd w:id="1"/>
    </w:p>
    <w:p>
      <w:pPr>
        <w:pStyle w:val="Style16"/>
        <w:spacing w:before="0" w:after="0"/>
        <w:jc w:val="right"/>
        <w:rPr>
          <w:rFonts w:eastAsia="BatangChe"/>
          <w:bCs/>
          <w:kern w:val="0"/>
          <w:sz w:val="26"/>
          <w:szCs w:val="26"/>
          <w:lang w:eastAsia="ru-RU" w:bidi="ar-SA"/>
        </w:rPr>
      </w:pPr>
      <w:r>
        <w:rPr>
          <w:rFonts w:eastAsia="BatangChe"/>
          <w:bCs/>
          <w:kern w:val="0"/>
          <w:sz w:val="26"/>
          <w:szCs w:val="26"/>
          <w:lang w:eastAsia="ru-RU" w:bidi="ar-SA"/>
        </w:rPr>
        <w:t>Приложение 1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</w:rPr>
        <w:t xml:space="preserve">к постановлению администрации </w:t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Кропачевского городского поселения</w:t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от «29» мая 2023 г. №26</w:t>
      </w:r>
    </w:p>
    <w:p>
      <w:pPr>
        <w:pStyle w:val="Style16"/>
        <w:spacing w:before="0" w:after="0"/>
        <w:jc w:val="right"/>
        <w:rPr>
          <w:rFonts w:eastAsia="BatangChe"/>
          <w:bCs/>
          <w:kern w:val="0"/>
          <w:sz w:val="26"/>
          <w:szCs w:val="26"/>
          <w:lang w:eastAsia="ru-RU" w:bidi="ar-SA"/>
        </w:rPr>
      </w:pPr>
      <w:r>
        <w:rPr>
          <w:rFonts w:eastAsia="BatangChe"/>
          <w:bCs/>
          <w:kern w:val="0"/>
          <w:sz w:val="26"/>
          <w:szCs w:val="26"/>
          <w:lang w:eastAsia="ru-RU" w:bidi="ar-SA"/>
        </w:rPr>
      </w:r>
    </w:p>
    <w:p>
      <w:pPr>
        <w:pStyle w:val="Style16"/>
        <w:spacing w:before="180" w:after="120"/>
        <w:jc w:val="center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/>
          <w:bCs/>
          <w:kern w:val="0"/>
          <w:sz w:val="26"/>
          <w:szCs w:val="26"/>
          <w:lang w:eastAsia="ru-RU" w:bidi="ar-SA"/>
        </w:rPr>
        <w:t>Программа комплексного развития систем социальной инфраструктуры Кропачевского городского поселения на 2023-2033 годы</w:t>
      </w:r>
    </w:p>
    <w:p>
      <w:pPr>
        <w:pStyle w:val="Style16"/>
        <w:spacing w:before="180" w:after="120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/>
          <w:bCs/>
          <w:kern w:val="0"/>
          <w:sz w:val="26"/>
          <w:szCs w:val="26"/>
          <w:lang w:eastAsia="ru-RU" w:bidi="ar-SA"/>
        </w:rPr>
        <w:t>Паспорт программы</w:t>
      </w:r>
    </w:p>
    <w:tbl>
      <w:tblPr>
        <w:tblW w:w="9600" w:type="dxa"/>
        <w:jc w:val="left"/>
        <w:tblInd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3104"/>
        <w:gridCol w:w="6495"/>
      </w:tblGrid>
      <w:tr>
        <w:trPr/>
        <w:tc>
          <w:tcPr>
            <w:tcW w:w="3104" w:type="dxa"/>
            <w:tcBorders>
              <w:top w:val="single" w:sz="2" w:space="0" w:color="CAC8B4"/>
              <w:left w:val="single" w:sz="2" w:space="0" w:color="CAC8B4"/>
              <w:bottom w:val="single" w:sz="2" w:space="0" w:color="CAC8B4"/>
            </w:tcBorders>
          </w:tcPr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Наименование программы:</w:t>
            </w:r>
          </w:p>
        </w:tc>
        <w:tc>
          <w:tcPr>
            <w:tcW w:w="6495" w:type="dxa"/>
            <w:tcBorders>
              <w:top w:val="single" w:sz="2" w:space="0" w:color="CAC8B4"/>
              <w:left w:val="single" w:sz="2" w:space="0" w:color="CAC8B4"/>
              <w:bottom w:val="single" w:sz="2" w:space="0" w:color="CAC8B4"/>
              <w:right w:val="single" w:sz="2" w:space="0" w:color="CAC8B4"/>
            </w:tcBorders>
          </w:tcPr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Программа комплексного развития систем социальной инфраструктуры Кропачевского городского поселения на 2023-2033 годы</w:t>
            </w:r>
          </w:p>
        </w:tc>
      </w:tr>
      <w:tr>
        <w:trPr/>
        <w:tc>
          <w:tcPr>
            <w:tcW w:w="3104" w:type="dxa"/>
            <w:tcBorders>
              <w:top w:val="single" w:sz="2" w:space="0" w:color="CAC8B4"/>
              <w:left w:val="single" w:sz="2" w:space="0" w:color="CAC8B4"/>
              <w:bottom w:val="single" w:sz="2" w:space="0" w:color="CAC8B4"/>
              <w:right w:val="single" w:sz="2" w:space="0" w:color="CAC8B4"/>
            </w:tcBorders>
          </w:tcPr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Основания разработки программы:</w:t>
            </w:r>
          </w:p>
        </w:tc>
        <w:tc>
          <w:tcPr>
            <w:tcW w:w="6495" w:type="dxa"/>
            <w:tcBorders>
              <w:top w:val="single" w:sz="2" w:space="0" w:color="CAC8B4"/>
              <w:left w:val="single" w:sz="2" w:space="0" w:color="CAC8B4"/>
              <w:bottom w:val="single" w:sz="2" w:space="0" w:color="CAC8B4"/>
              <w:right w:val="single" w:sz="2" w:space="0" w:color="CAC8B4"/>
            </w:tcBorders>
          </w:tcPr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Градостроительный Кодекс Российской Федерации,</w:t>
            </w:r>
          </w:p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Генеральный план Кропачевского городского поселения,</w:t>
            </w:r>
          </w:p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Устав Кропачевского городского поселения Ашинского муниципального района Челябинской области</w:t>
            </w:r>
          </w:p>
        </w:tc>
      </w:tr>
      <w:tr>
        <w:trPr/>
        <w:tc>
          <w:tcPr>
            <w:tcW w:w="3104" w:type="dxa"/>
            <w:tcBorders>
              <w:top w:val="single" w:sz="2" w:space="0" w:color="CAC8B4"/>
              <w:left w:val="single" w:sz="2" w:space="0" w:color="CAC8B4"/>
              <w:bottom w:val="single" w:sz="2" w:space="0" w:color="CAC8B4"/>
            </w:tcBorders>
          </w:tcPr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Заказчик программы:</w:t>
            </w:r>
          </w:p>
        </w:tc>
        <w:tc>
          <w:tcPr>
            <w:tcW w:w="6495" w:type="dxa"/>
            <w:tcBorders>
              <w:top w:val="single" w:sz="2" w:space="0" w:color="CAC8B4"/>
              <w:left w:val="single" w:sz="2" w:space="0" w:color="CAC8B4"/>
              <w:bottom w:val="single" w:sz="2" w:space="0" w:color="CAC8B4"/>
              <w:right w:val="single" w:sz="2" w:space="0" w:color="CAC8B4"/>
            </w:tcBorders>
          </w:tcPr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Администрация Кропачевского городского поселения Ашинского муниципального райна Челябинской области</w:t>
            </w:r>
          </w:p>
        </w:tc>
      </w:tr>
      <w:tr>
        <w:trPr/>
        <w:tc>
          <w:tcPr>
            <w:tcW w:w="3104" w:type="dxa"/>
            <w:tcBorders>
              <w:top w:val="single" w:sz="2" w:space="0" w:color="CAC8B4"/>
              <w:left w:val="single" w:sz="2" w:space="0" w:color="CAC8B4"/>
              <w:bottom w:val="single" w:sz="2" w:space="0" w:color="CAC8B4"/>
              <w:right w:val="single" w:sz="2" w:space="0" w:color="CAC8B4"/>
            </w:tcBorders>
          </w:tcPr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Разработчик программы:</w:t>
            </w:r>
          </w:p>
        </w:tc>
        <w:tc>
          <w:tcPr>
            <w:tcW w:w="6495" w:type="dxa"/>
            <w:tcBorders>
              <w:top w:val="single" w:sz="2" w:space="0" w:color="CAC8B4"/>
              <w:left w:val="single" w:sz="2" w:space="0" w:color="CAC8B4"/>
              <w:bottom w:val="single" w:sz="2" w:space="0" w:color="CAC8B4"/>
              <w:right w:val="single" w:sz="2" w:space="0" w:color="CAC8B4"/>
            </w:tcBorders>
          </w:tcPr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Администрация Кропачевского городского поселения Ашинского муниципального района Челябинской области</w:t>
            </w:r>
          </w:p>
        </w:tc>
      </w:tr>
      <w:tr>
        <w:trPr/>
        <w:tc>
          <w:tcPr>
            <w:tcW w:w="3104" w:type="dxa"/>
            <w:tcBorders>
              <w:top w:val="single" w:sz="2" w:space="0" w:color="CAC8B4"/>
              <w:left w:val="single" w:sz="2" w:space="0" w:color="CAC8B4"/>
              <w:bottom w:val="single" w:sz="2" w:space="0" w:color="CAC8B4"/>
            </w:tcBorders>
          </w:tcPr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Задачи программы:</w:t>
            </w:r>
          </w:p>
        </w:tc>
        <w:tc>
          <w:tcPr>
            <w:tcW w:w="6495" w:type="dxa"/>
            <w:tcBorders>
              <w:top w:val="single" w:sz="2" w:space="0" w:color="CAC8B4"/>
              <w:left w:val="single" w:sz="2" w:space="0" w:color="CAC8B4"/>
              <w:bottom w:val="single" w:sz="2" w:space="0" w:color="CAC8B4"/>
              <w:right w:val="single" w:sz="2" w:space="0" w:color="CAC8B4"/>
            </w:tcBorders>
          </w:tcPr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1. Создание правовых, организационных, институциональных и экономических условий для перехода</w:t>
            </w:r>
          </w:p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к устойчивому социальному развитию поселения, эффективной реализации полномочий органов</w:t>
            </w:r>
          </w:p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местного самоуправления;</w:t>
            </w:r>
          </w:p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2. Развитие социальной инфраструктуры, образования, здравоохранения, культуры, физкультуры и массового</w:t>
            </w:r>
          </w:p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спорта, школьного спорта:</w:t>
            </w:r>
          </w:p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3. Сохранение объектов культуры и активизация культурной</w:t>
            </w:r>
          </w:p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деятельности;</w:t>
            </w:r>
          </w:p>
          <w:p>
            <w:pPr>
              <w:pStyle w:val="Style21"/>
              <w:widowControl w:val="false"/>
              <w:numPr>
                <w:ilvl w:val="0"/>
                <w:numId w:val="1"/>
              </w:numPr>
              <w:spacing w:before="180" w:after="120"/>
              <w:ind w:left="14" w:hanging="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Создание условий для безопасного проживания населения на территории поселения.</w:t>
            </w:r>
          </w:p>
          <w:p>
            <w:pPr>
              <w:pStyle w:val="Style21"/>
              <w:widowControl w:val="false"/>
              <w:numPr>
                <w:ilvl w:val="0"/>
                <w:numId w:val="1"/>
              </w:numPr>
              <w:spacing w:before="180" w:after="120"/>
              <w:ind w:left="14" w:hanging="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Содействие в привлечении молодых специалистов в поселение</w:t>
            </w:r>
          </w:p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/>
            </w:r>
          </w:p>
        </w:tc>
      </w:tr>
      <w:tr>
        <w:trPr/>
        <w:tc>
          <w:tcPr>
            <w:tcW w:w="3104" w:type="dxa"/>
            <w:tcBorders>
              <w:top w:val="single" w:sz="2" w:space="0" w:color="CAC8B4"/>
              <w:left w:val="single" w:sz="2" w:space="0" w:color="CAC8B4"/>
              <w:bottom w:val="single" w:sz="2" w:space="0" w:color="CAC8B4"/>
              <w:right w:val="single" w:sz="2" w:space="0" w:color="CAC8B4"/>
            </w:tcBorders>
          </w:tcPr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Срок и этапы реализации программы:</w:t>
            </w:r>
          </w:p>
        </w:tc>
        <w:tc>
          <w:tcPr>
            <w:tcW w:w="6495" w:type="dxa"/>
            <w:tcBorders>
              <w:top w:val="single" w:sz="2" w:space="0" w:color="CAC8B4"/>
              <w:left w:val="single" w:sz="2" w:space="0" w:color="CAC8B4"/>
              <w:bottom w:val="single" w:sz="2" w:space="0" w:color="CAC8B4"/>
              <w:right w:val="single" w:sz="2" w:space="0" w:color="CAC8B4"/>
            </w:tcBorders>
          </w:tcPr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2023-2033 годы</w:t>
            </w:r>
          </w:p>
        </w:tc>
      </w:tr>
      <w:tr>
        <w:trPr/>
        <w:tc>
          <w:tcPr>
            <w:tcW w:w="3104" w:type="dxa"/>
            <w:tcBorders>
              <w:top w:val="single" w:sz="2" w:space="0" w:color="CAC8B4"/>
              <w:left w:val="single" w:sz="2" w:space="0" w:color="CAC8B4"/>
              <w:bottom w:val="single" w:sz="2" w:space="0" w:color="CAC8B4"/>
            </w:tcBorders>
          </w:tcPr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Ожидаемые результаты реализации программы:</w:t>
            </w:r>
          </w:p>
        </w:tc>
        <w:tc>
          <w:tcPr>
            <w:tcW w:w="6495" w:type="dxa"/>
            <w:tcBorders>
              <w:top w:val="single" w:sz="2" w:space="0" w:color="CAC8B4"/>
              <w:left w:val="single" w:sz="2" w:space="0" w:color="CAC8B4"/>
              <w:bottom w:val="single" w:sz="2" w:space="0" w:color="CAC8B4"/>
              <w:right w:val="single" w:sz="2" w:space="0" w:color="CAC8B4"/>
            </w:tcBorders>
          </w:tcPr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В результате реализации Программы к 2033 году предполагается:</w:t>
            </w:r>
          </w:p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Перспективное развитие социальной инфраструктуры поселения</w:t>
            </w:r>
          </w:p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Безопасность, качество и эффективность использования населением объектов социальной инфраструктуры</w:t>
            </w:r>
          </w:p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Доступность объектов социальной инфраструктуры</w:t>
            </w:r>
          </w:p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Достижение расчетного уровня обеспеченности населения объектами социальной инфраструктуры.</w:t>
            </w:r>
          </w:p>
          <w:p>
            <w:pPr>
              <w:pStyle w:val="Style21"/>
              <w:widowControl w:val="false"/>
              <w:spacing w:before="180" w:after="120"/>
              <w:jc w:val="both"/>
              <w:rPr>
                <w:rFonts w:ascii="Times New Roman" w:hAnsi="Times New Roman" w:eastAsia="BatangChe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Эффективность функционирования действующей социальной инфраструктуры.</w:t>
            </w:r>
          </w:p>
        </w:tc>
      </w:tr>
    </w:tbl>
    <w:p>
      <w:pPr>
        <w:pStyle w:val="Normal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u w:val="single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u w:val="single"/>
          <w:lang w:eastAsia="ru-RU" w:bidi="ar-SA"/>
        </w:rPr>
      </w:r>
    </w:p>
    <w:p>
      <w:pPr>
        <w:pStyle w:val="Normal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u w:val="single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u w:val="single"/>
          <w:lang w:eastAsia="ru-RU" w:bidi="ar-SA"/>
        </w:rPr>
        <w:t>Существующее положение</w:t>
      </w:r>
    </w:p>
    <w:p>
      <w:pPr>
        <w:pStyle w:val="Normal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Улучшение качества жизни всех слоев населения, являющееся главной целью развития территории любого поселения, в значительной степени определяется уровнем развития системы обслуживания, которая включает в себя учреждения здравоохранения, спорта, образования, культуры и искусства, торговли и др.</w:t>
      </w:r>
    </w:p>
    <w:p>
      <w:pPr>
        <w:pStyle w:val="Normal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Уровень обслуживания и спектр предоставляемых услуг постепенно меняется со становлением рыночной экономики и рыночных механизмов регулирования. Сфера обслуживания приобретает кардинально новый уровень – повышаются требования к качеству и ассортименту предоставляемых услуг учреждениями культурно-бытового и социального обслуживания.</w:t>
      </w:r>
    </w:p>
    <w:p>
      <w:pPr>
        <w:pStyle w:val="Normal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iCs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iCs/>
          <w:kern w:val="0"/>
          <w:sz w:val="26"/>
          <w:szCs w:val="26"/>
          <w:lang w:eastAsia="ru-RU" w:bidi="ar-SA"/>
        </w:rPr>
        <w:t xml:space="preserve">Обеспеченность населения поселка объектами культурно-бытового обслуживания в сравнении с нормативными показателями приводится в таблице  2.8.1. Как следует из таблицы, объекты обслуживания представлены практически всеми видами культурно-бытовых объектов, но обеспеченность ими жителей поселка различна. Наряду с учреждениями социально-гарантированного уровня </w:t>
        <w:br/>
        <w:t xml:space="preserve">в поселке функционируют Дом культуры, библиотека, спортивные залы </w:t>
        <w:br/>
        <w:t xml:space="preserve">при школах. Специализированного физкультурно-спортивного комплекса и плавательного бассейна на территории поселка нет. </w:t>
      </w:r>
    </w:p>
    <w:p>
      <w:pPr>
        <w:pStyle w:val="Normal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iCs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iCs/>
          <w:kern w:val="0"/>
          <w:sz w:val="26"/>
          <w:szCs w:val="26"/>
          <w:lang w:eastAsia="ru-RU" w:bidi="ar-SA"/>
        </w:rPr>
        <w:t>На исходный год объектами культурно-бытового обслуживания населения занято 9,15 га, в том числе:</w:t>
      </w:r>
    </w:p>
    <w:p>
      <w:pPr>
        <w:pStyle w:val="Normal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iCs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iCs/>
          <w:kern w:val="0"/>
          <w:sz w:val="26"/>
          <w:szCs w:val="26"/>
          <w:lang w:eastAsia="ru-RU" w:bidi="ar-SA"/>
        </w:rPr>
        <w:t>-</w:t>
        <w:tab/>
        <w:t>специализированная общественно-деловая застройка – 5,64 га;</w:t>
      </w:r>
    </w:p>
    <w:p>
      <w:pPr>
        <w:pStyle w:val="Normal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iCs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iCs/>
          <w:kern w:val="0"/>
          <w:sz w:val="26"/>
          <w:szCs w:val="26"/>
          <w:lang w:eastAsia="ru-RU" w:bidi="ar-SA"/>
        </w:rPr>
        <w:t>-</w:t>
        <w:tab/>
        <w:t>многофункциональная общественно-деловая застройка – 3,51 га.</w:t>
      </w:r>
    </w:p>
    <w:p>
      <w:pPr>
        <w:pStyle w:val="Normal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u w:val="single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u w:val="single"/>
          <w:lang w:eastAsia="ru-RU" w:bidi="ar-SA"/>
        </w:rPr>
      </w:r>
    </w:p>
    <w:p>
      <w:pPr>
        <w:pStyle w:val="Normal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u w:val="single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u w:val="single"/>
          <w:lang w:eastAsia="ru-RU" w:bidi="ar-SA"/>
        </w:rPr>
      </w:r>
    </w:p>
    <w:p>
      <w:pPr>
        <w:pStyle w:val="Normal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u w:val="single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u w:val="single"/>
          <w:lang w:eastAsia="ru-RU" w:bidi="ar-SA"/>
        </w:rPr>
        <w:t>Проектное решение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Генеральным планом предусматривается дальнейшее развитие в Кропачевском городском поселении всех форм услуг социальной сферы, обеспечивающих в полном объеме удовлетворение минимальных потребностей населения в социальных и культурно-бытовых услугах с учетом нормативных радиусов их пешеходно-транспортной доступности. Размещение объектов социальной и культурно-бытовой сферы предполагается в устанавливаемых общественно-деловых зонах.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Повышение доступности социально-культурных и торгово-бытовых услуг также достигается развитием дорожно-транспортных коммуникаций, позволяющих добираться до общественного центра поселения, района за более короткое время, повышением качества оказания услуг дистанционными формами обслуживания.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Дальнейшее развитие социальной инфраструктуры поселка предусматривается с тем, чтобы способствовать: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-</w:t>
        <w:tab/>
        <w:t>повышению уровня разнообразия доступных для населения мест приложения труда за счет расширения, в т. ч. нового строительства, коммерческо-деловой и обслуживающей сферы;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-</w:t>
        <w:tab/>
        <w:t>повышению уровня образования, уровня здоровья, культуры, повышению качества трудовых ресурсов;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-</w:t>
        <w:tab/>
        <w:t>достижению нормативных показателей обеспеченности учреждениями социально-гарантированного уровня обслуживания (детские дошкольные учреждения, общеобразовательные учреждения, учреждения здравоохранения);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-</w:t>
        <w:tab/>
        <w:t>повышению доступности центров концентрации объектов культурно-бытового обслуживания, объектов рекреации;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-</w:t>
        <w:tab/>
        <w:t>в конечном итоге, повышению качества жизни и развития человеческого потенциала.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u w:val="single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u w:val="single"/>
          <w:lang w:eastAsia="ru-RU" w:bidi="ar-SA"/>
        </w:rPr>
        <w:t>Образование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В настоящее время в поселке функционируют 2 общеобразовательные школы – МОУ «СОШ № 1» и МОУ «СОШ № 2» на 1,0 тыс. учащихся и детский сад на 75 мест.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В основном все учреждения образования находятся в хорошем состоянии.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Особенность планировки поселка в том, что его на две части разделяет железная дорога, что создает повышенную опасность пешеходной доступности до учреждений образования. С учетом данной особенности и нормативного радиуса доступности планируется размещение новых учреждений образования.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Основные мероприятия по развитию отрасли на расчетный срок: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-</w:t>
        <w:tab/>
        <w:t>сохранение и укрепление материально-технической базы учебных заведений;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-</w:t>
        <w:tab/>
        <w:t>возврат в образовательную сеть учреждений дошкольного образования, находящихся в настоящее время в бесхозном, брошенном состоянии;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-</w:t>
        <w:tab/>
        <w:t xml:space="preserve">строительство детского сада на 200 мест в Восточном районе поселка, </w:t>
        <w:br/>
        <w:t>по ул. Ленина, для обеспечения населения района на весь расчетный период;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-</w:t>
        <w:tab/>
        <w:t xml:space="preserve">строительство детского сада на 75 мест в Западном районе поселка </w:t>
        <w:br/>
        <w:t>по ул. Трактовая;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-</w:t>
        <w:tab/>
        <w:t xml:space="preserve">строительство станции юных техников, туристов и натуралистов </w:t>
        <w:br/>
        <w:t>в Восточном районе, по ул. Советская (1 объект);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-</w:t>
        <w:tab/>
        <w:t>строительство организации дополнительного образования в восточном районе, по ул. Советская.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u w:val="single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u w:val="single"/>
          <w:lang w:eastAsia="ru-RU" w:bidi="ar-SA"/>
        </w:rPr>
        <w:t>Здравоохранение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На исходный год в поселке имеются следующие лечебно-профилактические учреждения: амбулатория на ст. Кропачево на 110 пос./смену, МБУЗ «Кропачевская городская больница» на 10 коек.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Дальнейшее развитие, укрепление материально-технической базы лечебно-профилактических учреждений осуществляется за счет капитальных ремонтов существующих объектов.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Стационарное обслуживание осуществляется в МБУЗ «Миньярская городская больница» как ближайшей участковой больнице, обслуживающей группу населенных пунктов по муниципальному району.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u w:val="single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u w:val="single"/>
          <w:lang w:eastAsia="ru-RU" w:bidi="ar-SA"/>
        </w:rPr>
        <w:t>Физическая культура и спорт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В поселке функционируют 2 спортивных зала при общеобразовательных школах.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Дальнейшее развитие материально-технической базы физкультуры и спорта предусматривается за счет: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-</w:t>
        <w:tab/>
        <w:t xml:space="preserve">резервирования территории для физкультурно-спортивных сооружений, исходя из расчета 0,7 га на 1 тыс. жителей, что для пос. Кропачево составляет </w:t>
        <w:br/>
        <w:t>3,5 га;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-</w:t>
        <w:tab/>
        <w:t>строительство физкультурно-оздоровительного комплекса (ФОК), включающего плавательный бассейн и универсальный спортивный зал в Западном районе, по ул. Трактовая (1 объект, 0,80 га);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-</w:t>
        <w:tab/>
        <w:t xml:space="preserve">строительство стадиона (1 объект, 2,28 га) вблизи планируемого ФОК </w:t>
        <w:br/>
        <w:t>в Западном районе;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-</w:t>
        <w:tab/>
        <w:t xml:space="preserve">строительства спортивных и детских площадок вблизи жилья, исходя </w:t>
        <w:br/>
        <w:t>из радиуса пешеходной доступности объекта обслуживания не более 800 м, в т. ч. во вновь открываемых дошкольных учреждениях, общей площадью 1,70 га;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-</w:t>
        <w:tab/>
        <w:t xml:space="preserve">развития детского спорта путем открытия детских спортивных школ </w:t>
        <w:br/>
        <w:t>и секций при общеобразовательных учреждениях, создания спортивных клубов вблизи жилья.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u w:val="single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u w:val="single"/>
          <w:lang w:eastAsia="ru-RU" w:bidi="ar-SA"/>
        </w:rPr>
        <w:t>Культура и искусство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В поселке функционируют: Дом культуры на 160 мест и поселковая библиотека с книжным фондом 9,0 тыс. экземпляров. Дом культуры расположен в центре поселка, имеет парковую зону и сохраняется на расчетный срок для обслуживания западной части поселка.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Развитие материально-технической базы учреждений культуры и искусства за счет реконструкции существующих и строительства новых объектов: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-</w:t>
        <w:tab/>
        <w:t>реконструкция МКУК «Кропачевский поселковый дом культуры», увеличение емкости дома культуры до 200 мест;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-</w:t>
        <w:tab/>
        <w:t xml:space="preserve">строительство учреждения культуры клубного типа на 50 мест </w:t>
        <w:br/>
        <w:t>в Восточном районе, по ул. Советская;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-</w:t>
        <w:tab/>
        <w:t xml:space="preserve">увеличение книжного фонда существующей библиотеки до 11,0 тыс. экз. и размещения новой библиотеки с книжным фондом 7,0 тыс. экземпляров </w:t>
        <w:br/>
        <w:t>для обслуживания Восточного района поселка в составе планируемого учреждения культуры клубного типа.</w:t>
      </w:r>
    </w:p>
    <w:p>
      <w:pPr>
        <w:pStyle w:val="Normal"/>
        <w:widowControl w:val="false"/>
        <w:tabs>
          <w:tab w:val="clear" w:pos="709"/>
          <w:tab w:val="left" w:pos="1134" w:leader="none"/>
          <w:tab w:val="left" w:pos="6492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u w:val="single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u w:val="single"/>
          <w:lang w:eastAsia="ru-RU" w:bidi="ar-SA"/>
        </w:rPr>
        <w:t>Коммерческо-деловая и обслуживающая сфера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Коммерческо-деловая и обслуживающая сфера, включающая торговлю, общественное питание, бытовое обслуживание, предпринимательство, малый бизнес, направлена на повышение деловой активности населения, способствующей развитию экономики поселка, созданию дополнительных мест приложения труда.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За последние годы происходит активное развитие сферы деловых услуг – финансово-банковская деятельность, операции с недвижимостью; развитие сферы торговли, малого бизнеса, предпринимательства, расширение информационных услуг и т. д.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Функционирующие в поселке предприятия торговли – 20 магазинов продовольственных и непродовольственных товаров на 2,4 тыс. м</w:t>
      </w:r>
      <w:r>
        <w:rPr>
          <w:rFonts w:eastAsia="BatangChe" w:cs="Times New Roman" w:ascii="Times New Roman" w:hAnsi="Times New Roman"/>
          <w:kern w:val="0"/>
          <w:sz w:val="26"/>
          <w:szCs w:val="26"/>
          <w:vertAlign w:val="superscript"/>
          <w:lang w:eastAsia="ru-RU" w:bidi="ar-SA"/>
        </w:rPr>
        <w:t>2</w:t>
      </w: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 xml:space="preserve"> торговой площади сохраняются на расчетный срок.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Генпланом предусматриваются территории для дальнейшего развития, расширения сферы обслуживания населения: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-</w:t>
        <w:tab/>
        <w:t>развития сети предприятий торговли, общественного питания, бытового обслуживания – в составе многофункциональных комплексов, в центрах досуга населения;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-</w:t>
        <w:tab/>
        <w:t>размещения магазинов, предприятий общественного питания и бытового обслуживания социально-гарантированного уровня вблизи жилья в радиусе пешеходной доступности 500-800 м, в особенности, в районах размещения нового жилищного строительства.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 xml:space="preserve">При этом планируется увеличение емкости учреждений по сравнению </w:t>
        <w:br/>
        <w:t>с текущим периодом: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-</w:t>
        <w:tab/>
        <w:t>общественного питания – до 180 мест;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-</w:t>
        <w:tab/>
        <w:t>бытового обслуживания – до 22 рабочих мест.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Увеличение территорий общественно-деловых зон предполагается в 2,6 раза с 9,15 га до 23,13 га.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u w:val="single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u w:val="single"/>
          <w:lang w:eastAsia="ru-RU" w:bidi="ar-SA"/>
        </w:rPr>
        <w:t>Предприятия коммунального обслуживания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 xml:space="preserve">Функционирующие в поселке гостиница, пожарное депо на 2 машины </w:t>
        <w:br/>
        <w:t xml:space="preserve">и производственно-техническая база коммунального обслуживания поселка сохраняются на расчетный срок. 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В дальнейшем, в сфере коммунально-бытового обслуживания населения генеральным планом предусматривается территория для размещения объекта бытового обслуживания в Восточном районе поселка.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>Намечаемые генеральным планом мероприятия по развитию социальной инфраструктуры будут способствовать существенному улучшению условий жизнедеятельности населения, увеличению коммерческой эффективности, пополнению бюджета поселка, тем самым – повышению качества жизни населения поселка.</w:t>
      </w:r>
    </w:p>
    <w:p>
      <w:pPr>
        <w:sectPr>
          <w:type w:val="nextPage"/>
          <w:pgSz w:w="11906" w:h="16838"/>
          <w:pgMar w:left="1701" w:right="851" w:gutter="0" w:header="0" w:top="1134" w:footer="0" w:bottom="1134"/>
          <w:pgNumType w:fmt="decimal"/>
          <w:formProt w:val="false"/>
          <w:textDirection w:val="lrTb"/>
          <w:docGrid w:type="default" w:linePitch="326" w:charSpace="0"/>
        </w:sect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  <w:t xml:space="preserve">Расчет количества и вместимости учреждений и предприятий обслуживания принят в соответствии с Региональными нормативам градостроительного проектирования Челябинской области, утвержденными приказом Министерства строительства и инфраструктуры Челябинской области от 29.10.2020 № 268, </w:t>
        <w:br/>
        <w:t xml:space="preserve">СП 42.13330.2016 Градостроительство. Планировка и застройка городских </w:t>
        <w:br/>
        <w:t>и сельских поселений. Актуализированная редакция СНиП 2.07.01-89* (с учетом СП 30-102-99). Расчет потребности в учреждениях обслуживания на расчетный срок приведен в таблице 2.8.1</w:t>
      </w:r>
    </w:p>
    <w:p>
      <w:pPr>
        <w:pStyle w:val="Normal"/>
        <w:tabs>
          <w:tab w:val="clear" w:pos="709"/>
          <w:tab w:val="left" w:pos="1134" w:leader="none"/>
        </w:tabs>
        <w:suppressAutoHyphens w:val="false"/>
        <w:spacing w:lineRule="atLeast" w:line="26"/>
        <w:ind w:firstLine="1"/>
        <w:jc w:val="center"/>
        <w:rPr>
          <w:rFonts w:ascii="Times New Roman" w:hAnsi="Times New Roman" w:eastAsia="BatangChe" w:cs="Times New Roman"/>
          <w:b/>
          <w:kern w:val="0"/>
          <w:lang w:eastAsia="ru-RU" w:bidi="ar-SA"/>
        </w:rPr>
      </w:pPr>
      <w:r>
        <w:rPr>
          <w:rFonts w:eastAsia="BatangChe" w:cs="Times New Roman" w:ascii="Times New Roman" w:hAnsi="Times New Roman"/>
          <w:b/>
          <w:kern w:val="0"/>
          <w:lang w:eastAsia="ru-RU" w:bidi="ar-SA"/>
        </w:rPr>
        <w:t>Таблица 2.8.1. Расчет потребности обеспеченности в объектах культурно-бытового обслуживания на расчетный срок (2042 г.)</w:t>
      </w:r>
    </w:p>
    <w:p>
      <w:pPr>
        <w:pStyle w:val="Normal"/>
        <w:tabs>
          <w:tab w:val="clear" w:pos="709"/>
          <w:tab w:val="left" w:pos="1134" w:leader="none"/>
        </w:tabs>
        <w:suppressAutoHyphens w:val="false"/>
        <w:spacing w:lineRule="atLeast" w:line="26"/>
        <w:ind w:firstLine="1"/>
        <w:jc w:val="center"/>
        <w:rPr>
          <w:rFonts w:ascii="Times New Roman" w:hAnsi="Times New Roman" w:eastAsia="BatangChe" w:cs="Times New Roman"/>
          <w:b/>
          <w:kern w:val="0"/>
          <w:lang w:eastAsia="ru-RU" w:bidi="ar-SA"/>
        </w:rPr>
      </w:pPr>
      <w:r>
        <w:rPr>
          <w:rFonts w:eastAsia="BatangChe" w:cs="Times New Roman" w:ascii="Times New Roman" w:hAnsi="Times New Roman"/>
          <w:b/>
          <w:kern w:val="0"/>
          <w:lang w:eastAsia="ru-RU" w:bidi="ar-SA"/>
        </w:rPr>
      </w:r>
    </w:p>
    <w:tbl>
      <w:tblPr>
        <w:tblW w:w="153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55"/>
        <w:gridCol w:w="2803"/>
        <w:gridCol w:w="1418"/>
        <w:gridCol w:w="1984"/>
        <w:gridCol w:w="1702"/>
        <w:gridCol w:w="1418"/>
        <w:gridCol w:w="1416"/>
        <w:gridCol w:w="1"/>
        <w:gridCol w:w="3832"/>
      </w:tblGrid>
      <w:tr>
        <w:trPr>
          <w:tblHeader w:val="true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п/п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Наименование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Ед. изм.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Норматив на 1000 чел.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Потребность на 4,5 тыс. чел.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Размещено по проекту</w:t>
            </w:r>
          </w:p>
        </w:tc>
        <w:tc>
          <w:tcPr>
            <w:tcW w:w="3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Примечание *</w:t>
            </w:r>
          </w:p>
        </w:tc>
      </w:tr>
      <w:tr>
        <w:trPr>
          <w:tblHeader w:val="true"/>
        </w:trPr>
        <w:tc>
          <w:tcPr>
            <w:tcW w:w="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  <w:tc>
          <w:tcPr>
            <w:tcW w:w="2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сущ.</w:t>
            </w:r>
          </w:p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сохранение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новое строительство</w:t>
            </w:r>
          </w:p>
        </w:tc>
        <w:tc>
          <w:tcPr>
            <w:tcW w:w="3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</w:tr>
      <w:tr>
        <w:trPr>
          <w:tblHeader w:val="true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8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Учреждения образования</w:t>
            </w:r>
          </w:p>
        </w:tc>
      </w:tr>
      <w:tr>
        <w:trPr/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1.1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Дошкольные образовательные организации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180</w:t>
            </w:r>
          </w:p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(на территории жилой застройки следует размещать из расчета</w:t>
            </w:r>
          </w:p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не более 100 мест на 1 тыс. чел.)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810 (450)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825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Планируемые дошкольные образовательные организации: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napToGrid w:val="false"/>
              <w:spacing w:lineRule="atLeast" w:line="26" w:before="0" w:after="200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 xml:space="preserve">детский сад на 75 мест в Западном районе, ул. Трактовая (1 объект, 0,33 га),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u w:val="single"/>
                <w:lang w:eastAsia="ar-SA" w:bidi="ar-SA"/>
              </w:rPr>
              <w:t>расчетный срок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napToGrid w:val="false"/>
              <w:spacing w:lineRule="atLeast" w:line="26" w:before="0" w:after="200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 xml:space="preserve">детский сад на 200 мест в Восточном районе, ул. Ленина (1 объект, 0,76 га),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u w:val="single"/>
                <w:lang w:eastAsia="ar-SA" w:bidi="ar-SA"/>
              </w:rPr>
              <w:t>расчетный срок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</w:tr>
      <w:tr>
        <w:trPr/>
        <w:tc>
          <w:tcPr>
            <w:tcW w:w="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  <w:tc>
          <w:tcPr>
            <w:tcW w:w="2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70 (расчетный уровень обеспеченности в зависимости от демографической структуры)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315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275</w:t>
            </w:r>
          </w:p>
        </w:tc>
        <w:tc>
          <w:tcPr>
            <w:tcW w:w="3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both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u w:val="single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u w:val="single"/>
                <w:lang w:eastAsia="ar-SA" w:bidi="ar-SA"/>
              </w:rPr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1.2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Общеобразовательные организации (школы, гимназии, лицеи)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1.3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Организации дополнительного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10 % общего числа школьников, в том числе по видам зданий: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90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Планируемые организации дополнительного образования: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napToGrid w:val="false"/>
              <w:spacing w:lineRule="atLeast" w:line="26" w:before="0" w:after="200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 xml:space="preserve">организация дополнительного образования в Восточном районе, </w:t>
              <w:br/>
              <w:t xml:space="preserve">ул. Советская (1 объект, 0,34 га), </w:t>
              <w:br/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u w:val="single"/>
                <w:lang w:eastAsia="ar-SA" w:bidi="ar-SA"/>
              </w:rPr>
              <w:t>расчетный срок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napToGrid w:val="false"/>
              <w:spacing w:lineRule="atLeast" w:line="26" w:before="0" w:after="200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 xml:space="preserve">станции юных техников, туристов и натуралистов в Восточном районе, ул. Советская (1 объект, 0,63 га),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u w:val="single"/>
                <w:lang w:eastAsia="ar-SA" w:bidi="ar-SA"/>
              </w:rPr>
              <w:t>расчетный срок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1.3.1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Дворец творчества школьников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3,3 %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3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1.3.2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Станция юных техников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0,9 %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3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1.3.3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Станция юных натуралистов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0,4 %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3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1.3.4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Станция юных туристов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0,4 %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3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Учреждения здравоохранения и социального обеспечения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2.1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Лечебно-профилактические медицинские организации, оказывающие медицинскую помощь в стационарных условиях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 койка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по заданию на проектирование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Необходимые вместимость и структура медицинских организаций определяются</w:t>
            </w:r>
          </w:p>
          <w:p>
            <w:pPr>
              <w:pStyle w:val="Normal"/>
              <w:widowControl w:val="false"/>
              <w:snapToGrid w:val="false"/>
              <w:spacing w:lineRule="atLeast" w:line="26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органами здравоохранения.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2.2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Лечебно-профилактические медицинские организации, оказывающие медицинскую помощь в амбулаторных условиях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посещений в смену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по заданию на проектирование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3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2.3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Медицинские организации скорой медицинской помощи (станции скорой медицинской помощи)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автомобиль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0,1 в пределах зоны</w:t>
            </w:r>
          </w:p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15-минутной доступности</w:t>
            </w:r>
          </w:p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на специальном автомобиле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2.4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Аптека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м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eastAsia="ar-SA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 xml:space="preserve"> общ.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нет данных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14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Учреждения культуры и искусства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3.1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Учреждения культуры клубного типа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360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250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Планируемые учреждения культуры и искусства: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snapToGrid w:val="false"/>
              <w:spacing w:lineRule="atLeast" w:line="26" w:before="0" w:after="200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 xml:space="preserve">реконструкция МКУК «Кропачевский поселковый дом культуры», увеличение емкости до 200 мест,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u w:val="single"/>
                <w:lang w:eastAsia="ar-SA" w:bidi="ar-SA"/>
              </w:rPr>
              <w:t>1-я очередь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snapToGrid w:val="false"/>
              <w:spacing w:lineRule="atLeast" w:line="26" w:before="0" w:after="200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 xml:space="preserve">учреждение культуры клубного типа на 50 мест в Восточном районе, ул. Советская,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u w:val="single"/>
                <w:lang w:eastAsia="ar-SA" w:bidi="ar-SA"/>
              </w:rPr>
              <w:t>расчетный срок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3.2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Библиотеки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тыс. ед. хранения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 xml:space="preserve">Пополнение книжного фонда существующей библиотеки до 11,0 тыс. экз.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u w:val="single"/>
                <w:lang w:eastAsia="ar-SA" w:bidi="ar-SA"/>
              </w:rPr>
              <w:t>(1-я очередь)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 xml:space="preserve"> и размещения новой библиотеки с книжным фондом 7,0 тыс. экз. для обслуживания Восточного района поселка в составе планируемого учреждения культуры клубного типа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u w:val="single"/>
                <w:lang w:eastAsia="ar-SA" w:bidi="ar-SA"/>
              </w:rPr>
              <w:t>(расчетный срок)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4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Физкультурно-спортивные сооружения</w:t>
            </w:r>
          </w:p>
        </w:tc>
      </w:tr>
      <w:tr>
        <w:trPr/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4.1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Плоскостные спортивные сооружения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0,7-0,9</w:t>
            </w:r>
          </w:p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(в соответствии с СП 42.13330.2016)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3,2-4,1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не менее 0,87 га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Планируемые плоскостные спортивные сооружения: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napToGrid w:val="false"/>
              <w:spacing w:lineRule="atLeast" w:line="26" w:before="0" w:after="200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 xml:space="preserve">детские и спортивные площадки </w:t>
              <w:br/>
              <w:t xml:space="preserve">(5 объектов, общей площадью 1,70 га),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u w:val="single"/>
                <w:lang w:eastAsia="ar-SA" w:bidi="ar-SA"/>
              </w:rPr>
              <w:t>1-я очередь и расчетный срок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napToGrid w:val="false"/>
              <w:spacing w:lineRule="atLeast" w:line="26" w:before="0" w:after="200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 xml:space="preserve">стадион вблизи планируемого ФОК (1 объект, 2,28 га),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1-я очередь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napToGrid w:val="false"/>
              <w:spacing w:lineRule="atLeast" w:line="26" w:before="0" w:after="200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 xml:space="preserve">ФОК, включающий плавательный бассейн и универсальный спортивный зал в Западном районе, по ул. Трактовая (1 объект, 0,80 га),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u w:val="single"/>
                <w:lang w:eastAsia="ar-SA" w:bidi="ar-SA"/>
              </w:rPr>
              <w:t>расчетный срок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</w:tr>
      <w:tr>
        <w:trPr/>
        <w:tc>
          <w:tcPr>
            <w:tcW w:w="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  <w:tc>
          <w:tcPr>
            <w:tcW w:w="2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тыс. кв. 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1,95</w:t>
            </w:r>
          </w:p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(РНГП Челябинской области)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8,76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  <w:tc>
          <w:tcPr>
            <w:tcW w:w="3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4.2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Физкультурно-спортивные залы общего 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м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eastAsia="ar-SA" w:bidi="ar-SA"/>
              </w:rPr>
              <w:t xml:space="preserve">2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площади пола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60-80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270-360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2 объекта при школах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не менее 300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В составе планируемого ФОК.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4.3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Бассейны крытые и открытые общего 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м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eastAsia="ar-SA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 xml:space="preserve"> зеркала воды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20-25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90-112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не менее 110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В составе планируемого ФОК.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4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Торговля и общественное питание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5.1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 xml:space="preserve">Торговые объекты </w:t>
              <w:br/>
              <w:t>по продаже</w:t>
            </w:r>
          </w:p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продовольственных товаров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м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eastAsia="ar-SA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 xml:space="preserve"> торг.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148,5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668,2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20 объектов</w:t>
            </w:r>
          </w:p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(2,4 тыс. м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eastAsia="ar-SA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Размещение по мере необходимости в резервируемых зонах общественно-делового назначения.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5.2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 xml:space="preserve">Торговые объекты </w:t>
              <w:br/>
              <w:t>по продаже непродовольственных товаров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м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eastAsia="ar-SA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 xml:space="preserve"> торг.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338,1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1521,4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  <w:tc>
          <w:tcPr>
            <w:tcW w:w="3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5.3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Предприятие общественного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посадочное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180</w:t>
            </w:r>
          </w:p>
        </w:tc>
        <w:tc>
          <w:tcPr>
            <w:tcW w:w="3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4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Учреждения и предприятия бытового и коммунального обслуживания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6.1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Предприятия бытового обслуживания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рабочее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22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Планируемые предприятия бытового обслуживания: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false"/>
              <w:snapToGrid w:val="false"/>
              <w:spacing w:lineRule="atLeast" w:line="26" w:before="0" w:after="200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 xml:space="preserve">объект коммунально-бытового обслуживания в Восточном районе, ул. Кирова (1 объект, 0,58 га),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u w:val="single"/>
                <w:lang w:eastAsia="ar-SA" w:bidi="ar-SA"/>
              </w:rPr>
              <w:t>расчетный срок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6.2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Предприятие по стирке белья (фабрика-прачечная)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кг/</w:t>
            </w:r>
          </w:p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смену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495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495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Размещение в планируемом объекте коммунально-бытового обслуживания.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6.3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 xml:space="preserve">Прачечная самообслуживания, </w:t>
              <w:br/>
              <w:t>мини-прачечная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кг/</w:t>
            </w:r>
          </w:p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смену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45</w:t>
            </w:r>
          </w:p>
        </w:tc>
        <w:tc>
          <w:tcPr>
            <w:tcW w:w="3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</w:tr>
      <w:tr>
        <w:trPr>
          <w:trHeight w:val="577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6.4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Фабрики-химчистки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кг/</w:t>
            </w:r>
          </w:p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смену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3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</w:tr>
      <w:tr>
        <w:trPr>
          <w:trHeight w:val="577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6.5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Химчистка самообслуживания, мини-химчистка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кг/</w:t>
            </w:r>
          </w:p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смену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3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6.6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Ателье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объект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6.7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Банно-оздоровительный комплекс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помывочное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22</w:t>
            </w:r>
          </w:p>
        </w:tc>
        <w:tc>
          <w:tcPr>
            <w:tcW w:w="3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6.8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Пожарное депо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пожарный автомобиль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0,4-0,2</w:t>
            </w:r>
          </w:p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(2-12 в зависимости от типа пожарного депо)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2-1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6.9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Общественный туалет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объект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2 (в местах массового пребывания людей)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нет данных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6.10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Кладбище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0,24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нет данных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6.11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Кладбище урновых захоронений после кремации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0,02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6.12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Бюро похоронного обслуживания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объект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0,01-0,02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6.13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Пункт приема вторичного сырья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объект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0,05 на микрорайон с числом жителей до 20 тыс. человек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6.14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Объект по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 объект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 объект на муниципальный район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6.15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Гостиницы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 объект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</w:tr>
      <w:tr>
        <w:trPr>
          <w:trHeight w:val="184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4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Административно-деловые и хозяйственные учреждения</w:t>
            </w:r>
          </w:p>
        </w:tc>
      </w:tr>
      <w:tr>
        <w:trPr>
          <w:trHeight w:val="184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7.1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Отделение, филиал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объект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0,3-0,5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1,4-2,3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нет данных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Размещение дополнительного отделения, филиала банка не предусмотрено, возможно встроенно-пристроенный объект.</w:t>
            </w:r>
          </w:p>
        </w:tc>
      </w:tr>
      <w:tr>
        <w:trPr>
          <w:trHeight w:val="184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7.2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Отделение связи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объект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0,11-0,04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0,50-0,18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</w:tr>
      <w:tr>
        <w:trPr>
          <w:trHeight w:val="184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7.3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Юридическая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юрист, адвокат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0,1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нет данных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Размещение юридической консультации не предусмотрено, возможно встроенно-пристроенный объект.</w:t>
            </w:r>
          </w:p>
        </w:tc>
      </w:tr>
      <w:tr>
        <w:trPr>
          <w:trHeight w:val="184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7.4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Нотариальная контора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нотариус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0,03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0,14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нет данных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</w:tr>
      <w:tr>
        <w:trPr>
          <w:trHeight w:val="184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7.5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Отделение полиции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объект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по заданию на проектирование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</w:tr>
      <w:tr>
        <w:trPr>
          <w:trHeight w:val="184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7.6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Жилищно-эксплуатационные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объект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0,05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0,23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нет данных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</w:tr>
      <w:tr>
        <w:trPr>
          <w:trHeight w:val="184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7.5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Районный</w:t>
            </w:r>
          </w:p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(городской) суд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судья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0,03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</w:tr>
      <w:tr>
        <w:trPr>
          <w:trHeight w:val="184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4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eastAsia="ar-SA" w:bidi="ar-SA"/>
              </w:rPr>
              <w:t>Культовые объекты</w:t>
            </w:r>
          </w:p>
        </w:tc>
      </w:tr>
      <w:tr>
        <w:trPr>
          <w:trHeight w:val="184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8.1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Институты культового</w:t>
            </w:r>
          </w:p>
          <w:p>
            <w:pPr>
              <w:pStyle w:val="Normal"/>
              <w:widowControl w:val="false"/>
              <w:snapToGrid w:val="false"/>
              <w:spacing w:lineRule="atLeast" w:line="26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7,5 храмов на 1000 православных</w:t>
            </w:r>
          </w:p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верующих, 7 кв. м. на одно место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 xml:space="preserve">нет данных </w:t>
              <w:br/>
              <w:t>о числе православных верующих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1 объект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6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</w:tr>
    </w:tbl>
    <w:p>
      <w:pPr>
        <w:pStyle w:val="Normal"/>
        <w:tabs>
          <w:tab w:val="clear" w:pos="709"/>
          <w:tab w:val="left" w:pos="1134" w:leader="none"/>
        </w:tabs>
        <w:suppressAutoHyphens w:val="false"/>
        <w:spacing w:lineRule="atLeast" w:line="26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lineRule="auto" w:line="276"/>
        <w:ind w:firstLine="709"/>
        <w:jc w:val="both"/>
        <w:rPr>
          <w:rFonts w:ascii="Times New Roman" w:hAnsi="Times New Roman" w:eastAsia="BatangChe" w:cs="Times New Roman"/>
          <w:kern w:val="0"/>
          <w:sz w:val="26"/>
          <w:szCs w:val="26"/>
          <w:lang w:eastAsia="ru-RU" w:bidi="ar-SA"/>
        </w:rPr>
      </w:pPr>
      <w:r>
        <w:rPr>
          <w:rFonts w:eastAsia="BatangChe" w:cs="Times New Roman" w:ascii="Times New Roman" w:hAnsi="Times New Roman"/>
          <w:kern w:val="0"/>
          <w:sz w:val="26"/>
          <w:szCs w:val="26"/>
          <w:lang w:eastAsia="ru-RU" w:bidi="ar-SA"/>
        </w:rPr>
      </w:r>
    </w:p>
    <w:p>
      <w:pPr>
        <w:pStyle w:val="Style16"/>
        <w:spacing w:before="180" w:after="120"/>
        <w:jc w:val="both"/>
        <w:rPr>
          <w:rFonts w:ascii="Times New Roman" w:hAnsi="Times New Roman" w:cs="Times New Roman"/>
          <w:color w:val="000000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1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 Light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/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link w:val="11"/>
    <w:uiPriority w:val="9"/>
    <w:qFormat/>
    <w:rsid w:val="00472e25"/>
    <w:pPr>
      <w:keepNext w:val="true"/>
      <w:keepLines/>
      <w:spacing w:before="480" w:after="0"/>
      <w:outlineLvl w:val="0"/>
    </w:pPr>
    <w:rPr>
      <w:rFonts w:ascii="Calibri Light" w:hAnsi="Calibri Light" w:eastAsia="" w:cs="Mangal"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Pr>
      <w:b/>
      <w:bCs/>
    </w:rPr>
  </w:style>
  <w:style w:type="character" w:styleId="Style14" w:customStyle="1">
    <w:name w:val="Маркеры"/>
    <w:qFormat/>
    <w:rPr>
      <w:rFonts w:ascii="OpenSymbol" w:hAnsi="OpenSymbol" w:eastAsia="OpenSymbol" w:cs="OpenSymbol"/>
    </w:rPr>
  </w:style>
  <w:style w:type="character" w:styleId="11" w:customStyle="1">
    <w:name w:val="Заголовок 1 Знак"/>
    <w:basedOn w:val="DefaultParagraphFont"/>
    <w:uiPriority w:val="9"/>
    <w:qFormat/>
    <w:rsid w:val="00472e25"/>
    <w:rPr>
      <w:rFonts w:ascii="Calibri Light" w:hAnsi="Calibri Light" w:eastAsia="" w:cs="Mangal"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72e2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Spacing">
    <w:name w:val="No Spacing"/>
    <w:uiPriority w:val="1"/>
    <w:qFormat/>
    <w:rsid w:val="00ee11ca"/>
    <w:pPr>
      <w:widowControl/>
      <w:suppressAutoHyphens w:val="fals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ru-RU" w:bidi="ar-SA" w:val="ru-RU"/>
    </w:rPr>
  </w:style>
  <w:style w:type="paragraph" w:styleId="ConsPlusNormal" w:customStyle="1">
    <w:name w:val="ConsPlusNormal"/>
    <w:qFormat/>
    <w:rsid w:val="00ee11ca"/>
    <w:pPr>
      <w:widowControl w:val="false"/>
      <w:suppressAutoHyphens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bidi="ar-SA" w:val="ru-RU"/>
    </w:rPr>
  </w:style>
  <w:style w:type="paragraph" w:styleId="ConsPlusTitle" w:customStyle="1">
    <w:name w:val="ConsPlusTitle"/>
    <w:uiPriority w:val="99"/>
    <w:qFormat/>
    <w:rsid w:val="00ee11ca"/>
    <w:pPr>
      <w:widowControl w:val="false"/>
      <w:suppressAutoHyphens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bidi="ar-SA" w:val="ru-RU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LibreOffice/7.5.3.2$Windows_X86_64 LibreOffice_project/9f56dff12ba03b9acd7730a5a481eea045e468f3</Application>
  <AppVersion>15.0000</AppVersion>
  <Pages>7</Pages>
  <Words>2404</Words>
  <Characters>16866</Characters>
  <CharactersWithSpaces>18856</CharactersWithSpaces>
  <Paragraphs>501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2022-01-28T15:25:00Z</dcterms:created>
  <dc:creator/>
  <dc:description/>
  <dc:language>ru-RU</dc:language>
  <cp:lastModifiedBy>Пользователь Windows</cp:lastModifiedBy>
  <dcterms:modified xsi:type="dcterms:W3CDTF">2023-05-29T05:01:00Z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